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2.wmf" ContentType="image/x-wmf"/>
  <Override PartName="/word/media/image1.png" ContentType="image/png"/>
  <Override PartName="/word/media/image2.jpeg" ContentType="image/jpeg"/>
  <Override PartName="/word/media/image19.wmf" ContentType="image/x-wmf"/>
  <Override PartName="/word/media/image8.png" ContentType="image/png"/>
  <Override PartName="/word/media/image14.wmf" ContentType="image/x-wmf"/>
  <Override PartName="/word/media/image3.png" ContentType="image/png"/>
  <Override PartName="/word/media/image4.jpeg" ContentType="image/jpeg"/>
  <Override PartName="/word/media/image13.wmf" ContentType="image/x-wmf"/>
  <Override PartName="/word/media/image7.png" ContentType="image/png"/>
  <Override PartName="/word/media/image18.wmf" ContentType="image/x-wmf"/>
  <Override PartName="/word/media/image5.jpeg" ContentType="image/jpeg"/>
  <Override PartName="/word/media/image23.wmf" ContentType="image/x-wmf"/>
  <Override PartName="/word/media/image6.jpeg" ContentType="image/jpeg"/>
  <Override PartName="/word/media/image9.wmf" ContentType="image/x-wmf"/>
  <Override PartName="/word/media/image10.wmf" ContentType="image/x-wmf"/>
  <Override PartName="/word/media/image11.wmf" ContentType="image/x-wmf"/>
  <Override PartName="/word/media/image15.wmf" ContentType="image/x-wmf"/>
  <Override PartName="/word/media/image16.wmf" ContentType="image/x-wmf"/>
  <Override PartName="/word/media/image17.wmf" ContentType="image/x-wmf"/>
  <Override PartName="/word/media/image20.wmf" ContentType="image/x-wmf"/>
  <Override PartName="/word/media/image21.wmf" ContentType="image/x-wmf"/>
  <Override PartName="/word/media/image22.png" ContentType="image/png"/>
  <Override PartName="/word/media/image24.wmf" ContentType="image/x-wmf"/>
  <Override PartName="/word/media/image25.wmf" ContentType="image/x-wmf"/>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lang w:val="el-GR"/>
        </w:rPr>
      </w:pPr>
      <w:r>
        <w:rPr>
          <w:lang w:val="el-GR"/>
        </w:rPr>
      </w:r>
    </w:p>
    <w:p>
      <w:pPr>
        <w:pStyle w:val="Normal"/>
        <w:jc w:val="center"/>
        <w:rPr>
          <w:b/>
          <w:sz w:val="32"/>
          <w:szCs w:val="32"/>
          <w:u w:val="single"/>
          <w:lang w:val="el-GR"/>
        </w:rPr>
      </w:pPr>
      <w:r>
        <w:rPr>
          <w:b/>
          <w:sz w:val="32"/>
          <w:szCs w:val="32"/>
          <w:u w:val="single"/>
          <w:lang w:val="el-GR"/>
        </w:rPr>
      </w:r>
    </w:p>
    <w:p>
      <w:pPr>
        <w:pStyle w:val="Normal"/>
        <w:jc w:val="center"/>
        <w:rPr>
          <w:b/>
          <w:sz w:val="32"/>
          <w:szCs w:val="32"/>
          <w:u w:val="single"/>
          <w:lang w:val="el-GR"/>
        </w:rPr>
      </w:pPr>
      <w:r>
        <w:rPr>
          <w:b/>
          <w:sz w:val="32"/>
          <w:szCs w:val="32"/>
          <w:u w:val="single"/>
          <w:lang w:val="el-GR"/>
        </w:rPr>
      </w:r>
    </w:p>
    <w:p>
      <w:pPr>
        <w:pStyle w:val="Normal"/>
        <w:jc w:val="center"/>
        <w:rPr>
          <w:b/>
          <w:sz w:val="32"/>
          <w:szCs w:val="32"/>
          <w:u w:val="single"/>
          <w:lang w:val="el-GR"/>
        </w:rPr>
      </w:pPr>
      <w:r>
        <w:rPr>
          <w:b/>
          <w:sz w:val="32"/>
          <w:szCs w:val="32"/>
          <w:u w:val="single"/>
          <w:lang w:val="el-GR"/>
        </w:rPr>
        <w:t>ΠΡΟΔΙΑΓΡΑΦΗ ΕΝΟΠΛΩΝ ΔΥΝΑΜΕΩΝ</w:t>
      </w:r>
    </w:p>
    <w:p>
      <w:pPr>
        <w:pStyle w:val="Normal"/>
        <w:rPr>
          <w:b/>
          <w:sz w:val="32"/>
          <w:szCs w:val="32"/>
          <w:u w:val="single"/>
          <w:lang w:val="el-GR"/>
        </w:rPr>
      </w:pPr>
      <w:r>
        <w:rPr>
          <w:b/>
          <w:sz w:val="32"/>
          <w:szCs w:val="32"/>
          <w:u w:val="single"/>
          <w:lang w:val="el-GR"/>
        </w:rPr>
      </w:r>
    </w:p>
    <w:p>
      <w:pPr>
        <w:pStyle w:val="Normal"/>
        <w:rPr>
          <w:b/>
          <w:sz w:val="32"/>
          <w:szCs w:val="32"/>
          <w:u w:val="single"/>
          <w:lang w:val="el-GR"/>
        </w:rPr>
      </w:pPr>
      <w:r>
        <w:rPr>
          <w:b/>
          <w:sz w:val="32"/>
          <w:szCs w:val="32"/>
          <w:u w:val="single"/>
          <w:lang w:val="el-GR"/>
        </w:rPr>
      </w:r>
    </w:p>
    <w:p>
      <w:pPr>
        <w:pStyle w:val="Normal"/>
        <w:rPr>
          <w:b/>
          <w:sz w:val="32"/>
          <w:szCs w:val="32"/>
          <w:u w:val="single"/>
          <w:lang w:val="el-GR"/>
        </w:rPr>
      </w:pPr>
      <w:r>
        <w:rPr>
          <w:b/>
          <w:sz w:val="32"/>
          <w:szCs w:val="32"/>
          <w:u w:val="single"/>
          <w:lang w:val="el-GR"/>
        </w:rPr>
      </w:r>
    </w:p>
    <w:p>
      <w:pPr>
        <w:pStyle w:val="Normal"/>
        <w:rPr>
          <w:b/>
          <w:sz w:val="32"/>
          <w:szCs w:val="32"/>
          <w:u w:val="single"/>
          <w:lang w:val="el-GR"/>
        </w:rPr>
      </w:pPr>
      <w:r>
        <w:rPr>
          <w:b/>
          <w:sz w:val="32"/>
          <w:szCs w:val="32"/>
          <w:u w:val="single"/>
          <w:lang w:val="el-GR"/>
        </w:rPr>
      </w:r>
    </w:p>
    <w:p>
      <w:pPr>
        <w:pStyle w:val="Normal"/>
        <w:rPr>
          <w:b/>
          <w:sz w:val="32"/>
          <w:szCs w:val="32"/>
          <w:u w:val="single"/>
          <w:lang w:val="el-GR"/>
        </w:rPr>
      </w:pPr>
      <w:r>
        <w:rPr>
          <w:b/>
          <w:sz w:val="32"/>
          <w:szCs w:val="32"/>
          <w:u w:val="single"/>
          <w:lang w:val="el-GR"/>
        </w:rPr>
      </w:r>
    </w:p>
    <w:tbl>
      <w:tblPr>
        <w:tblW w:w="9431" w:type="dxa"/>
        <w:jc w:val="center"/>
        <w:tblInd w:w="0" w:type="dxa"/>
        <w:tblLayout w:type="fixed"/>
        <w:tblCellMar>
          <w:top w:w="0" w:type="dxa"/>
          <w:start w:w="108" w:type="dxa"/>
          <w:bottom w:w="0" w:type="dxa"/>
          <w:end w:w="108" w:type="dxa"/>
        </w:tblCellMar>
      </w:tblPr>
      <w:tblGrid>
        <w:gridCol w:w="5424"/>
        <w:gridCol w:w="4006"/>
      </w:tblGrid>
      <w:tr>
        <w:trPr/>
        <w:tc>
          <w:tcPr>
            <w:tcW w:w="5424" w:type="dxa"/>
            <w:tcBorders/>
          </w:tcPr>
          <w:p>
            <w:pPr>
              <w:pStyle w:val="Normal"/>
              <w:rPr>
                <w:b/>
                <w:sz w:val="24"/>
                <w:szCs w:val="24"/>
                <w:lang w:val="el-GR"/>
              </w:rPr>
            </w:pPr>
            <w:r>
              <w:rPr>
                <w:b/>
                <w:sz w:val="24"/>
                <w:szCs w:val="24"/>
                <w:lang w:val="el-GR"/>
              </w:rPr>
              <w:t>ΣΧΕΔΙΟ ΠΕΔ Α-0</w:t>
            </w:r>
          </w:p>
        </w:tc>
        <w:tc>
          <w:tcPr>
            <w:tcW w:w="4006" w:type="dxa"/>
            <w:tcBorders/>
          </w:tcPr>
          <w:p>
            <w:pPr>
              <w:pStyle w:val="Normal"/>
              <w:jc w:val="center"/>
              <w:rPr>
                <w:b/>
                <w:sz w:val="24"/>
                <w:szCs w:val="24"/>
                <w:lang w:val="el-GR"/>
              </w:rPr>
            </w:pPr>
            <w:r>
              <w:rPr>
                <w:b/>
                <w:sz w:val="24"/>
                <w:szCs w:val="24"/>
                <w:lang w:val="el-GR"/>
              </w:rPr>
              <w:t>ΕΚΔΟΣΗ 1</w:t>
            </w:r>
            <w:r>
              <w:rPr>
                <w:b/>
                <w:sz w:val="24"/>
                <w:szCs w:val="24"/>
                <w:vertAlign w:val="superscript"/>
                <w:lang w:val="el-GR"/>
              </w:rPr>
              <w:t>η</w:t>
            </w:r>
          </w:p>
        </w:tc>
      </w:tr>
    </w:tbl>
    <w:p>
      <w:pPr>
        <w:pStyle w:val="Normal"/>
        <w:jc w:val="center"/>
        <w:rPr>
          <w:b/>
          <w:lang w:val="el-GR"/>
        </w:rPr>
      </w:pPr>
      <w:r>
        <w:rPr>
          <w:b/>
          <w:lang w:val="el-GR"/>
        </w:rPr>
      </w:r>
    </w:p>
    <w:p>
      <w:pPr>
        <w:pStyle w:val="Normal"/>
        <w:jc w:val="center"/>
        <w:rPr>
          <w:b/>
          <w:lang w:val="el-GR"/>
        </w:rPr>
      </w:pPr>
      <w:r>
        <w:rPr>
          <w:b/>
          <w:lang w:val="el-GR"/>
        </w:rPr>
      </w:r>
    </w:p>
    <w:p>
      <w:pPr>
        <w:pStyle w:val="Normal"/>
        <w:jc w:val="center"/>
        <w:rPr>
          <w:b/>
          <w:sz w:val="24"/>
          <w:szCs w:val="24"/>
          <w:lang w:val="el-GR"/>
        </w:rPr>
      </w:pPr>
      <w:r>
        <w:rPr>
          <w:b/>
          <w:sz w:val="24"/>
          <w:szCs w:val="24"/>
          <w:lang w:val="el-GR"/>
        </w:rPr>
      </w:r>
    </w:p>
    <w:p>
      <w:pPr>
        <w:pStyle w:val="Normal"/>
        <w:jc w:val="center"/>
        <w:rPr>
          <w:b/>
          <w:sz w:val="24"/>
          <w:szCs w:val="24"/>
          <w:lang w:val="el-GR"/>
        </w:rPr>
      </w:pPr>
      <w:r>
        <w:rPr>
          <w:b/>
          <w:sz w:val="24"/>
          <w:szCs w:val="24"/>
          <w:lang w:val="el-GR"/>
        </w:rPr>
      </w:r>
    </w:p>
    <w:p>
      <w:pPr>
        <w:pStyle w:val="Normal"/>
        <w:jc w:val="center"/>
        <w:rPr>
          <w:b/>
          <w:sz w:val="24"/>
          <w:szCs w:val="24"/>
          <w:lang w:val="el-GR"/>
        </w:rPr>
      </w:pPr>
      <w:r>
        <w:rPr>
          <w:b/>
          <w:sz w:val="24"/>
          <w:szCs w:val="24"/>
          <w:lang w:val="el-GR"/>
        </w:rPr>
      </w:r>
    </w:p>
    <w:p>
      <w:pPr>
        <w:pStyle w:val="Normal"/>
        <w:jc w:val="center"/>
        <w:rPr>
          <w:b/>
          <w:sz w:val="24"/>
          <w:szCs w:val="24"/>
          <w:lang w:val="el-GR"/>
        </w:rPr>
      </w:pPr>
      <w:r>
        <w:rPr>
          <w:b/>
          <w:sz w:val="24"/>
          <w:szCs w:val="24"/>
          <w:lang w:val="el-GR"/>
        </w:rPr>
      </w:r>
    </w:p>
    <w:p>
      <w:pPr>
        <w:pStyle w:val="Heading1"/>
        <w:numPr>
          <w:ilvl w:val="0"/>
          <w:numId w:val="1"/>
        </w:numPr>
        <w:ind w:hanging="0" w:start="0" w:end="0"/>
        <w:rPr>
          <w:rFonts w:ascii="Arial" w:hAnsi="Arial" w:cs="Arial"/>
          <w:sz w:val="24"/>
          <w:szCs w:val="24"/>
          <w:lang w:val="el-GR"/>
        </w:rPr>
      </w:pPr>
      <w:r>
        <w:rPr>
          <w:rFonts w:cs="Arial" w:ascii="Arial" w:hAnsi="Arial"/>
          <w:sz w:val="24"/>
          <w:szCs w:val="24"/>
          <w:lang w:val="el-GR"/>
        </w:rPr>
        <w:t>ΠΕΡΑΣΤΑ ΔΙΑΚΡΙΤΙΚΑ ΒΑΘΜΟΥ &amp; ΕΙΔΙΚΟΤΗΤΩΝ ΠΡΟΣΩΠΙΚΟΥ ΠΝ</w:t>
      </w:r>
    </w:p>
    <w:p>
      <w:pPr>
        <w:pStyle w:val="Normal"/>
        <w:ind w:hanging="0" w:start="0" w:end="0"/>
        <w:rPr>
          <w:rFonts w:ascii="Arial" w:hAnsi="Arial" w:cs="Arial"/>
          <w:sz w:val="24"/>
          <w:szCs w:val="24"/>
          <w:lang w:val="el-GR"/>
        </w:rPr>
      </w:pPr>
      <w:r>
        <w:rPr>
          <w:rFonts w:cs="Arial"/>
          <w:sz w:val="24"/>
          <w:szCs w:val="24"/>
          <w:lang w:val="el-GR"/>
        </w:rPr>
        <w:t>[</w:t>
      </w:r>
      <w:r>
        <w:rPr>
          <w:rFonts w:cs="Arial"/>
          <w:b/>
          <w:bCs/>
          <w:sz w:val="24"/>
          <w:szCs w:val="24"/>
          <w:lang w:val="el-GR"/>
        </w:rPr>
        <w:t>(ΥΠΑΞΙΩΜΑΤΙΚΩΝ, ΕΠΑΓΓΕΛΜΑΤΙΩΝ ΟΠΛΙΤΩΝ (ΕΠ.ΟΠ) &amp; ΝΑΥΤΟΔΙΟΠΩΝ (Ν/Δ)]</w:t>
      </w:r>
    </w:p>
    <w:p>
      <w:pPr>
        <w:pStyle w:val="Normal"/>
        <w:jc w:val="center"/>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p>
      <w:pPr>
        <w:pStyle w:val="Normal"/>
        <w:rPr>
          <w:b/>
          <w:sz w:val="24"/>
          <w:szCs w:val="24"/>
          <w:lang w:val="el-GR"/>
        </w:rPr>
      </w:pPr>
      <w:r>
        <w:rPr>
          <w:b/>
          <w:sz w:val="24"/>
          <w:szCs w:val="24"/>
          <w:lang w:val="el-GR"/>
        </w:rPr>
      </w:r>
    </w:p>
    <w:tbl>
      <w:tblPr>
        <w:tblW w:w="9855" w:type="dxa"/>
        <w:jc w:val="start"/>
        <w:tblInd w:w="0" w:type="dxa"/>
        <w:tblLayout w:type="fixed"/>
        <w:tblCellMar>
          <w:top w:w="0" w:type="dxa"/>
          <w:start w:w="108" w:type="dxa"/>
          <w:bottom w:w="0" w:type="dxa"/>
          <w:end w:w="108" w:type="dxa"/>
        </w:tblCellMar>
      </w:tblPr>
      <w:tblGrid>
        <w:gridCol w:w="5641"/>
        <w:gridCol w:w="4213"/>
      </w:tblGrid>
      <w:tr>
        <w:trPr/>
        <w:tc>
          <w:tcPr>
            <w:tcW w:w="5641" w:type="dxa"/>
            <w:tcBorders/>
          </w:tcPr>
          <w:p>
            <w:pPr>
              <w:pStyle w:val="Normal"/>
              <w:snapToGrid w:val="false"/>
              <w:rPr>
                <w:lang w:val="el-GR"/>
              </w:rPr>
            </w:pPr>
            <w:r>
              <w:rPr>
                <w:lang w:val="el-GR"/>
              </w:rPr>
            </w:r>
          </w:p>
        </w:tc>
        <w:tc>
          <w:tcPr>
            <w:tcW w:w="4213" w:type="dxa"/>
            <w:tcBorders/>
          </w:tcPr>
          <w:p>
            <w:pPr>
              <w:pStyle w:val="Normal"/>
              <w:jc w:val="start"/>
              <w:rPr/>
            </w:pPr>
            <w:r>
              <w:rPr>
                <w:rFonts w:eastAsia="Arial"/>
                <w:sz w:val="22"/>
                <w:szCs w:val="22"/>
                <w:lang w:val="el-GR"/>
              </w:rPr>
              <w:t xml:space="preserve"> </w:t>
            </w:r>
            <w:r>
              <w:rPr>
                <w:rFonts w:eastAsia="Arial"/>
                <w:sz w:val="22"/>
                <w:szCs w:val="22"/>
                <w:lang w:val="el-GR"/>
              </w:rPr>
              <w:t xml:space="preserve">ΑΠΡΙΛΙΟΥ </w:t>
            </w:r>
            <w:r>
              <w:rPr>
                <w:sz w:val="22"/>
                <w:szCs w:val="22"/>
                <w:lang w:val="el-GR"/>
              </w:rPr>
              <w:t>2025</w:t>
            </w:r>
          </w:p>
        </w:tc>
      </w:tr>
    </w:tbl>
    <w:p>
      <w:pPr>
        <w:pStyle w:val="Normal"/>
        <w:rPr>
          <w:lang w:val="el-GR"/>
        </w:rPr>
      </w:pPr>
      <w:r>
        <w:rPr>
          <w:lang w:val="el-GR"/>
        </w:rPr>
        <w:tab/>
        <w:tab/>
        <w:tab/>
        <w:tab/>
        <w:tab/>
        <w:tab/>
        <w:tab/>
        <w:tab/>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tbl>
      <w:tblPr>
        <w:tblW w:w="9606" w:type="dxa"/>
        <w:jc w:val="start"/>
        <w:tblInd w:w="0" w:type="dxa"/>
        <w:tblLayout w:type="fixed"/>
        <w:tblCellMar>
          <w:top w:w="0" w:type="dxa"/>
          <w:start w:w="108" w:type="dxa"/>
          <w:bottom w:w="0" w:type="dxa"/>
          <w:end w:w="108" w:type="dxa"/>
        </w:tblCellMar>
      </w:tblPr>
      <w:tblGrid>
        <w:gridCol w:w="5636"/>
        <w:gridCol w:w="3969"/>
      </w:tblGrid>
      <w:tr>
        <w:trPr/>
        <w:tc>
          <w:tcPr>
            <w:tcW w:w="5636" w:type="dxa"/>
            <w:tcBorders/>
          </w:tcPr>
          <w:p>
            <w:pPr>
              <w:pStyle w:val="Normal"/>
              <w:snapToGrid w:val="false"/>
              <w:rPr>
                <w:lang w:val="el-GR"/>
              </w:rPr>
            </w:pPr>
            <w:r>
              <w:rPr>
                <w:lang w:val="el-GR"/>
              </w:rPr>
            </w:r>
          </w:p>
        </w:tc>
        <w:tc>
          <w:tcPr>
            <w:tcW w:w="3969" w:type="dxa"/>
            <w:tcBorders/>
          </w:tcPr>
          <w:p>
            <w:pPr>
              <w:pStyle w:val="Normal"/>
              <w:jc w:val="start"/>
              <w:rPr>
                <w:sz w:val="22"/>
                <w:szCs w:val="22"/>
                <w:lang w:val="el-GR"/>
              </w:rPr>
            </w:pPr>
            <w:r>
              <w:rPr>
                <w:sz w:val="22"/>
                <w:szCs w:val="22"/>
                <w:lang w:val="el-GR"/>
              </w:rPr>
              <w:t>ΕΛΛΗΝΙΚΗ ΔΗΜΟΚΡΑΤΙΑ</w:t>
            </w:r>
          </w:p>
          <w:p>
            <w:pPr>
              <w:pStyle w:val="Normal"/>
              <w:jc w:val="start"/>
              <w:rPr>
                <w:sz w:val="22"/>
                <w:szCs w:val="22"/>
                <w:lang w:val="el-GR"/>
              </w:rPr>
            </w:pPr>
            <w:r>
              <w:rPr>
                <w:sz w:val="22"/>
                <w:szCs w:val="22"/>
                <w:lang w:val="el-GR"/>
              </w:rPr>
              <w:t>ΥΠΟΥΡΓΕΙΟ ΕΘΝΙΚΗΣ ΑΜΥΝΑΣ</w:t>
            </w:r>
          </w:p>
        </w:tc>
      </w:tr>
    </w:tbl>
    <w:p>
      <w:pPr>
        <w:pStyle w:val="Normal"/>
        <w:rPr>
          <w:lang w:val="el-GR"/>
        </w:rPr>
      </w:pPr>
      <w:r>
        <w:rPr>
          <w:lang w:val="el-GR"/>
        </w:rPr>
      </w:r>
    </w:p>
    <w:p>
      <w:pPr>
        <w:pStyle w:val="Normal"/>
        <w:rPr>
          <w:lang w:val="el-GR"/>
        </w:rPr>
      </w:pPr>
      <w:r>
        <w:rPr>
          <w:lang w:val="el-GR"/>
        </w:rPr>
        <w:tab/>
        <w:tab/>
        <w:tab/>
        <w:tab/>
        <w:tab/>
        <w:tab/>
        <w:tab/>
        <w:tab/>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tbl>
      <w:tblPr>
        <w:tblW w:w="9606" w:type="dxa"/>
        <w:jc w:val="start"/>
        <w:tblInd w:w="0" w:type="dxa"/>
        <w:tblLayout w:type="fixed"/>
        <w:tblCellMar>
          <w:top w:w="0" w:type="dxa"/>
          <w:start w:w="108" w:type="dxa"/>
          <w:bottom w:w="0" w:type="dxa"/>
          <w:end w:w="108" w:type="dxa"/>
        </w:tblCellMar>
      </w:tblPr>
      <w:tblGrid>
        <w:gridCol w:w="5636"/>
        <w:gridCol w:w="3969"/>
      </w:tblGrid>
      <w:tr>
        <w:trPr/>
        <w:tc>
          <w:tcPr>
            <w:tcW w:w="5636" w:type="dxa"/>
            <w:tcBorders/>
          </w:tcPr>
          <w:p>
            <w:pPr>
              <w:pStyle w:val="Normal"/>
              <w:jc w:val="both"/>
              <w:rPr>
                <w:rFonts w:cs="Arial"/>
                <w:sz w:val="24"/>
                <w:szCs w:val="24"/>
                <w:lang w:val="el-GR"/>
              </w:rPr>
            </w:pPr>
            <w:r>
              <w:rPr>
                <w:rFonts w:cs="Arial"/>
                <w:sz w:val="24"/>
                <w:szCs w:val="24"/>
                <w:lang w:val="el-GR"/>
              </w:rPr>
              <w:t>ΑΔΙΑΒΑΘΜΗΤΟ – ΑΝΑΡΤΗΤΕΟ</w:t>
            </w:r>
          </w:p>
          <w:p>
            <w:pPr>
              <w:pStyle w:val="Normal"/>
              <w:jc w:val="both"/>
              <w:rPr>
                <w:rFonts w:cs="Arial"/>
                <w:sz w:val="24"/>
                <w:szCs w:val="24"/>
                <w:lang w:val="el-GR"/>
              </w:rPr>
            </w:pPr>
            <w:r>
              <w:rPr>
                <w:rFonts w:cs="Arial"/>
                <w:sz w:val="24"/>
                <w:szCs w:val="24"/>
                <w:lang w:val="el-GR"/>
              </w:rPr>
              <w:t>ΣΤΟ ΔΙΑΔΙΚΤΥΟ</w:t>
            </w:r>
          </w:p>
        </w:tc>
        <w:tc>
          <w:tcPr>
            <w:tcW w:w="3969" w:type="dxa"/>
            <w:tcBorders/>
          </w:tcPr>
          <w:p>
            <w:pPr>
              <w:pStyle w:val="Normal"/>
              <w:snapToGrid w:val="false"/>
              <w:jc w:val="start"/>
              <w:rPr>
                <w:sz w:val="22"/>
                <w:szCs w:val="22"/>
                <w:lang w:val="el-GR"/>
              </w:rPr>
            </w:pPr>
            <w:r>
              <w:rPr>
                <w:sz w:val="22"/>
                <w:szCs w:val="22"/>
                <w:lang w:val="el-GR"/>
              </w:rPr>
            </w:r>
          </w:p>
        </w:tc>
      </w:tr>
    </w:tbl>
    <w:p>
      <w:pPr>
        <w:pStyle w:val="Normal"/>
        <w:jc w:val="center"/>
        <w:rPr>
          <w:sz w:val="24"/>
          <w:szCs w:val="24"/>
          <w:lang w:val="el-GR"/>
        </w:rPr>
      </w:pPr>
      <w:r>
        <w:rPr>
          <w:sz w:val="24"/>
          <w:szCs w:val="24"/>
          <w:lang w:val="el-GR"/>
        </w:rPr>
      </w:r>
    </w:p>
    <w:p>
      <w:pPr>
        <w:pStyle w:val="Normal"/>
        <w:jc w:val="center"/>
        <w:rPr>
          <w:sz w:val="24"/>
          <w:szCs w:val="24"/>
          <w:lang w:val="el-GR"/>
        </w:rPr>
      </w:pPr>
      <w:r>
        <w:rPr>
          <w:sz w:val="24"/>
          <w:szCs w:val="24"/>
          <w:lang w:val="el-GR"/>
        </w:rPr>
      </w:r>
    </w:p>
    <w:p>
      <w:pPr>
        <w:pStyle w:val="Normal"/>
        <w:jc w:val="center"/>
        <w:rPr>
          <w:sz w:val="24"/>
          <w:szCs w:val="24"/>
          <w:lang w:val="el-GR"/>
        </w:rPr>
      </w:pPr>
      <w:r>
        <w:rPr>
          <w:sz w:val="24"/>
          <w:szCs w:val="24"/>
          <w:lang w:val="el-GR"/>
        </w:rPr>
      </w:r>
    </w:p>
    <w:p>
      <w:pPr>
        <w:pStyle w:val="Normal"/>
        <w:jc w:val="center"/>
        <w:rPr>
          <w:sz w:val="24"/>
          <w:szCs w:val="24"/>
          <w:lang w:val="el-GR"/>
        </w:rPr>
      </w:pPr>
      <w:r>
        <w:rPr>
          <w:sz w:val="24"/>
          <w:szCs w:val="24"/>
          <w:lang w:val="el-GR"/>
        </w:rPr>
        <w:t>ΠΙΝΑΚΑΣ ΠΕΡΙΕΧΟΜΕΝΩΝ</w:t>
      </w:r>
    </w:p>
    <w:p>
      <w:pPr>
        <w:pStyle w:val="Normal"/>
        <w:rPr>
          <w:sz w:val="24"/>
          <w:szCs w:val="24"/>
          <w:lang w:val="el-GR"/>
        </w:rPr>
      </w:pPr>
      <w:r>
        <w:rPr>
          <w:sz w:val="24"/>
          <w:szCs w:val="24"/>
          <w:lang w:val="el-GR"/>
        </w:rPr>
      </w:r>
    </w:p>
    <w:tbl>
      <w:tblPr>
        <w:tblW w:w="9741" w:type="dxa"/>
        <w:jc w:val="start"/>
        <w:tblInd w:w="0" w:type="dxa"/>
        <w:tblLayout w:type="fixed"/>
        <w:tblCellMar>
          <w:top w:w="0" w:type="dxa"/>
          <w:start w:w="108" w:type="dxa"/>
          <w:bottom w:w="0" w:type="dxa"/>
          <w:end w:w="108" w:type="dxa"/>
        </w:tblCellMar>
      </w:tblPr>
      <w:tblGrid>
        <w:gridCol w:w="4870"/>
        <w:gridCol w:w="4870"/>
      </w:tblGrid>
      <w:tr>
        <w:trPr/>
        <w:tc>
          <w:tcPr>
            <w:tcW w:w="4870" w:type="dxa"/>
            <w:tcBorders/>
          </w:tcPr>
          <w:p>
            <w:pPr>
              <w:pStyle w:val="Normal"/>
              <w:snapToGrid w:val="false"/>
              <w:spacing w:lineRule="auto" w:line="360"/>
              <w:jc w:val="center"/>
              <w:rPr>
                <w:lang w:val="el-GR"/>
              </w:rPr>
            </w:pPr>
            <w:r>
              <w:rPr>
                <w:lang w:val="el-GR"/>
              </w:rPr>
            </w:r>
          </w:p>
        </w:tc>
        <w:tc>
          <w:tcPr>
            <w:tcW w:w="4870" w:type="dxa"/>
            <w:tcBorders/>
          </w:tcPr>
          <w:p>
            <w:pPr>
              <w:pStyle w:val="Normal"/>
              <w:snapToGrid w:val="false"/>
              <w:spacing w:lineRule="auto" w:line="360"/>
              <w:jc w:val="center"/>
              <w:rPr>
                <w:lang w:val="el-GR"/>
              </w:rPr>
            </w:pPr>
            <w:r>
              <w:rPr>
                <w:lang w:val="el-GR"/>
              </w:rPr>
              <w:t xml:space="preserve">                                                  </w:t>
            </w:r>
            <w:r>
              <w:rPr>
                <w:sz w:val="24"/>
                <w:szCs w:val="24"/>
                <w:lang w:val="el-GR"/>
              </w:rPr>
              <w:t>ΣΕΛΙΔΑ</w:t>
            </w:r>
          </w:p>
        </w:tc>
      </w:tr>
      <w:tr>
        <w:trPr/>
        <w:tc>
          <w:tcPr>
            <w:tcW w:w="9740" w:type="dxa"/>
            <w:gridSpan w:val="2"/>
            <w:tcBorders/>
          </w:tcPr>
          <w:p>
            <w:pPr>
              <w:pStyle w:val="Normal"/>
              <w:spacing w:lineRule="auto" w:line="360"/>
              <w:jc w:val="center"/>
              <w:rPr>
                <w:sz w:val="24"/>
                <w:szCs w:val="24"/>
              </w:rPr>
            </w:pPr>
            <w:r>
              <w:rPr>
                <w:sz w:val="24"/>
                <w:szCs w:val="24"/>
                <w:lang w:val="en-US"/>
              </w:rPr>
              <w:t>1</w:t>
            </w:r>
            <w:r>
              <w:rPr>
                <w:sz w:val="24"/>
                <w:szCs w:val="24"/>
              </w:rPr>
              <w:t xml:space="preserve">     ΠΕΔΙΟ ΕΦΑΡΜΟΓΗΣ</w:t>
            </w:r>
            <w:r>
              <w:rPr>
                <w:sz w:val="24"/>
                <w:szCs w:val="24"/>
                <w:u w:val="dotted"/>
              </w:rPr>
              <w:t xml:space="preserve">                                                                                   3</w:t>
            </w:r>
          </w:p>
        </w:tc>
      </w:tr>
      <w:tr>
        <w:trPr/>
        <w:tc>
          <w:tcPr>
            <w:tcW w:w="9740" w:type="dxa"/>
            <w:gridSpan w:val="2"/>
            <w:tcBorders/>
          </w:tcPr>
          <w:p>
            <w:pPr>
              <w:pStyle w:val="Normal"/>
              <w:spacing w:lineRule="auto" w:line="360"/>
              <w:jc w:val="center"/>
              <w:rPr/>
            </w:pPr>
            <w:r>
              <w:rPr>
                <w:sz w:val="24"/>
                <w:szCs w:val="24"/>
                <w:lang w:val="el-GR"/>
              </w:rPr>
              <w:t xml:space="preserve"> </w:t>
            </w:r>
            <w:r>
              <w:rPr>
                <w:sz w:val="24"/>
                <w:szCs w:val="24"/>
                <w:lang w:val="el-GR"/>
              </w:rPr>
              <w:t>2    ΣΧΕΤΙΚΑ ΕΓΓΡΑΦΑ</w:t>
            </w:r>
            <w:r>
              <w:rPr>
                <w:sz w:val="24"/>
                <w:szCs w:val="24"/>
                <w:u w:val="dotted"/>
                <w:lang w:val="el-GR"/>
              </w:rPr>
              <w:t xml:space="preserve">                                                                                      3</w:t>
            </w:r>
          </w:p>
        </w:tc>
      </w:tr>
      <w:tr>
        <w:trPr/>
        <w:tc>
          <w:tcPr>
            <w:tcW w:w="9740" w:type="dxa"/>
            <w:gridSpan w:val="2"/>
            <w:tcBorders/>
          </w:tcPr>
          <w:p>
            <w:pPr>
              <w:pStyle w:val="Normal"/>
              <w:spacing w:lineRule="auto" w:line="360"/>
              <w:jc w:val="center"/>
              <w:rPr/>
            </w:pPr>
            <w:r>
              <w:rPr>
                <w:sz w:val="24"/>
                <w:szCs w:val="24"/>
                <w:lang w:val="el-GR"/>
              </w:rPr>
              <w:t>2.1  Νομοθεσία</w:t>
            </w:r>
            <w:r>
              <w:rPr>
                <w:sz w:val="24"/>
                <w:szCs w:val="24"/>
                <w:u w:val="dotted"/>
                <w:lang w:val="el-GR"/>
              </w:rPr>
              <w:t xml:space="preserve">                                                                                                    3</w:t>
            </w:r>
          </w:p>
        </w:tc>
      </w:tr>
      <w:tr>
        <w:trPr/>
        <w:tc>
          <w:tcPr>
            <w:tcW w:w="9740" w:type="dxa"/>
            <w:gridSpan w:val="2"/>
            <w:tcBorders/>
          </w:tcPr>
          <w:p>
            <w:pPr>
              <w:pStyle w:val="Normal"/>
              <w:spacing w:lineRule="auto" w:line="360"/>
              <w:jc w:val="center"/>
              <w:rPr/>
            </w:pPr>
            <w:r>
              <w:rPr>
                <w:sz w:val="24"/>
                <w:szCs w:val="24"/>
                <w:lang w:val="el-GR"/>
              </w:rPr>
              <w:t xml:space="preserve">2.2   Πρότυπα </w:t>
            </w:r>
            <w:r>
              <w:rPr>
                <w:sz w:val="24"/>
                <w:szCs w:val="24"/>
                <w:u w:val="dotted"/>
                <w:lang w:val="el-GR"/>
              </w:rPr>
              <w:t xml:space="preserve">                                                                                                      3</w:t>
            </w:r>
          </w:p>
        </w:tc>
      </w:tr>
      <w:tr>
        <w:trPr/>
        <w:tc>
          <w:tcPr>
            <w:tcW w:w="9740" w:type="dxa"/>
            <w:gridSpan w:val="2"/>
            <w:tcBorders/>
          </w:tcPr>
          <w:p>
            <w:pPr>
              <w:pStyle w:val="Normal"/>
              <w:spacing w:lineRule="auto" w:line="360"/>
              <w:jc w:val="center"/>
              <w:rPr/>
            </w:pPr>
            <w:r>
              <w:rPr>
                <w:sz w:val="24"/>
                <w:szCs w:val="24"/>
                <w:lang w:val="el-GR"/>
              </w:rPr>
              <w:t>2.3  Τεχνικές Προδιαγραφές</w:t>
            </w:r>
            <w:r>
              <w:rPr>
                <w:b w:val="false"/>
                <w:bCs w:val="false"/>
                <w:sz w:val="24"/>
                <w:szCs w:val="24"/>
                <w:u w:val="dotted"/>
                <w:lang w:val="el-GR"/>
              </w:rPr>
              <w:t xml:space="preserve">                                                                                3</w:t>
            </w:r>
          </w:p>
        </w:tc>
      </w:tr>
      <w:tr>
        <w:trPr/>
        <w:tc>
          <w:tcPr>
            <w:tcW w:w="9740" w:type="dxa"/>
            <w:gridSpan w:val="2"/>
            <w:tcBorders/>
          </w:tcPr>
          <w:p>
            <w:pPr>
              <w:pStyle w:val="Normal"/>
              <w:spacing w:lineRule="auto" w:line="360"/>
              <w:jc w:val="center"/>
              <w:rPr/>
            </w:pPr>
            <w:r>
              <w:rPr>
                <w:sz w:val="24"/>
                <w:szCs w:val="24"/>
                <w:lang w:val="el-GR"/>
              </w:rPr>
              <w:t>2.4   Λοιπά</w:t>
            </w:r>
            <w:r>
              <w:rPr>
                <w:sz w:val="24"/>
                <w:szCs w:val="24"/>
                <w:u w:val="none"/>
                <w:lang w:val="el-GR"/>
              </w:rPr>
              <w:t xml:space="preserve"> Έγγραφα</w:t>
            </w:r>
            <w:r>
              <w:rPr>
                <w:b w:val="false"/>
                <w:bCs w:val="false"/>
                <w:sz w:val="24"/>
                <w:szCs w:val="24"/>
                <w:u w:val="dotted"/>
                <w:lang w:val="el-GR"/>
              </w:rPr>
              <w:t xml:space="preserve">                                                                                           3</w:t>
            </w:r>
          </w:p>
        </w:tc>
      </w:tr>
      <w:tr>
        <w:trPr/>
        <w:tc>
          <w:tcPr>
            <w:tcW w:w="9740" w:type="dxa"/>
            <w:gridSpan w:val="2"/>
            <w:tcBorders/>
          </w:tcPr>
          <w:p>
            <w:pPr>
              <w:pStyle w:val="Normal"/>
              <w:spacing w:lineRule="auto" w:line="360"/>
              <w:jc w:val="center"/>
              <w:rPr/>
            </w:pPr>
            <w:r>
              <w:rPr>
                <w:sz w:val="24"/>
                <w:szCs w:val="24"/>
                <w:lang w:val="el-GR"/>
              </w:rPr>
              <w:t>3      ΤΑΞΙΝΟΜΗΣΗ</w:t>
            </w:r>
            <w:r>
              <w:rPr>
                <w:sz w:val="24"/>
                <w:szCs w:val="24"/>
                <w:u w:val="dotted"/>
                <w:lang w:val="el-GR"/>
              </w:rPr>
              <w:t xml:space="preserve">                                                                                             4</w:t>
            </w:r>
          </w:p>
        </w:tc>
      </w:tr>
      <w:tr>
        <w:trPr/>
        <w:tc>
          <w:tcPr>
            <w:tcW w:w="9740" w:type="dxa"/>
            <w:gridSpan w:val="2"/>
            <w:tcBorders/>
          </w:tcPr>
          <w:p>
            <w:pPr>
              <w:pStyle w:val="Normal"/>
              <w:spacing w:lineRule="auto" w:line="360"/>
              <w:jc w:val="center"/>
              <w:rPr/>
            </w:pPr>
            <w:r>
              <w:rPr>
                <w:sz w:val="24"/>
                <w:szCs w:val="24"/>
                <w:lang w:val="el-GR"/>
              </w:rPr>
              <w:t>4      ΤΕΧΝΙΚΑ ΧΑΡΑΚΤΗΡΙΣΤΙΚΑ</w:t>
            </w:r>
            <w:r>
              <w:rPr>
                <w:sz w:val="24"/>
                <w:szCs w:val="24"/>
                <w:u w:val="dotted"/>
                <w:lang w:val="el-GR"/>
              </w:rPr>
              <w:t xml:space="preserve">                                                                      4</w:t>
            </w:r>
          </w:p>
        </w:tc>
      </w:tr>
      <w:tr>
        <w:trPr/>
        <w:tc>
          <w:tcPr>
            <w:tcW w:w="9740" w:type="dxa"/>
            <w:gridSpan w:val="2"/>
            <w:tcBorders/>
          </w:tcPr>
          <w:p>
            <w:pPr>
              <w:pStyle w:val="Normal"/>
              <w:spacing w:lineRule="auto" w:line="360"/>
              <w:jc w:val="center"/>
              <w:rPr/>
            </w:pPr>
            <w:r>
              <w:rPr>
                <w:sz w:val="24"/>
                <w:szCs w:val="24"/>
                <w:lang w:val="el-GR"/>
              </w:rPr>
              <w:t>4.1   Ορισμός υλικού</w:t>
            </w:r>
            <w:r>
              <w:rPr>
                <w:sz w:val="24"/>
                <w:szCs w:val="24"/>
                <w:u w:val="dotted"/>
                <w:lang w:val="el-GR"/>
              </w:rPr>
              <w:t xml:space="preserve">                                                                                            4</w:t>
            </w:r>
          </w:p>
        </w:tc>
      </w:tr>
      <w:tr>
        <w:trPr/>
        <w:tc>
          <w:tcPr>
            <w:tcW w:w="9740" w:type="dxa"/>
            <w:gridSpan w:val="2"/>
            <w:tcBorders/>
          </w:tcPr>
          <w:p>
            <w:pPr>
              <w:pStyle w:val="Normal"/>
              <w:spacing w:lineRule="auto" w:line="360"/>
              <w:jc w:val="center"/>
              <w:rPr/>
            </w:pPr>
            <w:r>
              <w:rPr>
                <w:sz w:val="24"/>
                <w:szCs w:val="24"/>
                <w:lang w:val="el-GR"/>
              </w:rPr>
              <w:t>4.2   Φυσικά χαρακτηριστικά</w:t>
            </w:r>
            <w:r>
              <w:rPr>
                <w:sz w:val="24"/>
                <w:szCs w:val="24"/>
                <w:u w:val="dotted"/>
                <w:lang w:val="el-GR"/>
              </w:rPr>
              <w:t xml:space="preserve">                                                                                4</w:t>
            </w:r>
          </w:p>
        </w:tc>
      </w:tr>
      <w:tr>
        <w:trPr/>
        <w:tc>
          <w:tcPr>
            <w:tcW w:w="9740" w:type="dxa"/>
            <w:gridSpan w:val="2"/>
            <w:tcBorders/>
          </w:tcPr>
          <w:p>
            <w:pPr>
              <w:pStyle w:val="Normal"/>
              <w:spacing w:lineRule="auto" w:line="360"/>
              <w:jc w:val="center"/>
              <w:rPr/>
            </w:pPr>
            <w:r>
              <w:rPr>
                <w:sz w:val="24"/>
                <w:szCs w:val="24"/>
                <w:lang w:val="el-GR"/>
              </w:rPr>
              <w:t>4.3   Σχεδίαση - Κατασκευή</w:t>
            </w:r>
            <w:r>
              <w:rPr>
                <w:sz w:val="24"/>
                <w:szCs w:val="24"/>
                <w:u w:val="dotted"/>
                <w:lang w:val="en-US"/>
              </w:rPr>
              <w:t xml:space="preserve">                                                                                1</w:t>
            </w:r>
            <w:r>
              <w:rPr>
                <w:sz w:val="24"/>
                <w:szCs w:val="24"/>
                <w:u w:val="dotted"/>
                <w:lang w:val="el-GR"/>
              </w:rPr>
              <w:t>0</w:t>
            </w:r>
          </w:p>
        </w:tc>
      </w:tr>
      <w:tr>
        <w:trPr/>
        <w:tc>
          <w:tcPr>
            <w:tcW w:w="9740" w:type="dxa"/>
            <w:gridSpan w:val="2"/>
            <w:tcBorders/>
          </w:tcPr>
          <w:p>
            <w:pPr>
              <w:pStyle w:val="Normal"/>
              <w:spacing w:lineRule="auto" w:line="360"/>
              <w:jc w:val="center"/>
              <w:rPr/>
            </w:pPr>
            <w:r>
              <w:rPr>
                <w:sz w:val="24"/>
                <w:szCs w:val="24"/>
                <w:lang w:val="el-GR"/>
              </w:rPr>
              <w:t>4.4   Απαιτήσεις Νομοθεσίας</w:t>
            </w:r>
            <w:r>
              <w:rPr>
                <w:sz w:val="24"/>
                <w:szCs w:val="24"/>
                <w:u w:val="dotted"/>
                <w:lang w:val="el-GR"/>
              </w:rPr>
              <w:t xml:space="preserve">                                                                              </w:t>
            </w:r>
            <w:r>
              <w:rPr>
                <w:sz w:val="24"/>
                <w:szCs w:val="24"/>
                <w:u w:val="dotted"/>
                <w:lang w:val="en-US"/>
              </w:rPr>
              <w:t>14</w:t>
            </w:r>
          </w:p>
        </w:tc>
      </w:tr>
      <w:tr>
        <w:trPr/>
        <w:tc>
          <w:tcPr>
            <w:tcW w:w="9740" w:type="dxa"/>
            <w:gridSpan w:val="2"/>
            <w:tcBorders/>
          </w:tcPr>
          <w:p>
            <w:pPr>
              <w:pStyle w:val="Normal"/>
              <w:spacing w:lineRule="auto" w:line="360"/>
              <w:jc w:val="center"/>
              <w:rPr/>
            </w:pPr>
            <w:r>
              <w:rPr>
                <w:sz w:val="24"/>
                <w:szCs w:val="24"/>
                <w:lang w:val="el-GR"/>
              </w:rPr>
              <w:t>5      ΣΥΣΚΕΥΑΣΙΑ / ΕΠΙΣΗΜΑΝΣΕΙΣ</w:t>
            </w:r>
            <w:r>
              <w:rPr>
                <w:sz w:val="24"/>
                <w:szCs w:val="24"/>
                <w:u w:val="dotted"/>
                <w:lang w:val="el-GR"/>
              </w:rPr>
              <w:t xml:space="preserve">                                                               </w:t>
            </w:r>
            <w:r>
              <w:rPr>
                <w:sz w:val="24"/>
                <w:szCs w:val="24"/>
                <w:u w:val="dotted"/>
                <w:lang w:val="en-US"/>
              </w:rPr>
              <w:t>14</w:t>
            </w:r>
          </w:p>
        </w:tc>
      </w:tr>
      <w:tr>
        <w:trPr/>
        <w:tc>
          <w:tcPr>
            <w:tcW w:w="9740" w:type="dxa"/>
            <w:gridSpan w:val="2"/>
            <w:tcBorders/>
          </w:tcPr>
          <w:p>
            <w:pPr>
              <w:pStyle w:val="Normal"/>
              <w:spacing w:lineRule="auto" w:line="360"/>
              <w:jc w:val="center"/>
              <w:rPr/>
            </w:pPr>
            <w:r>
              <w:rPr>
                <w:sz w:val="24"/>
                <w:szCs w:val="24"/>
                <w:lang w:val="el-GR"/>
              </w:rPr>
              <w:t>5.1   Συσκευασία</w:t>
            </w:r>
            <w:r>
              <w:rPr>
                <w:sz w:val="24"/>
                <w:szCs w:val="24"/>
                <w:u w:val="dotted"/>
                <w:lang w:val="el-GR"/>
              </w:rPr>
              <w:t xml:space="preserve">                                                                                                </w:t>
            </w:r>
            <w:r>
              <w:rPr>
                <w:sz w:val="24"/>
                <w:szCs w:val="24"/>
                <w:u w:val="dotted"/>
                <w:lang w:val="en-US"/>
              </w:rPr>
              <w:t>14</w:t>
            </w:r>
          </w:p>
        </w:tc>
      </w:tr>
      <w:tr>
        <w:trPr/>
        <w:tc>
          <w:tcPr>
            <w:tcW w:w="9740" w:type="dxa"/>
            <w:gridSpan w:val="2"/>
            <w:tcBorders/>
          </w:tcPr>
          <w:p>
            <w:pPr>
              <w:pStyle w:val="Normal"/>
              <w:spacing w:lineRule="auto" w:line="360"/>
              <w:jc w:val="center"/>
              <w:rPr/>
            </w:pPr>
            <w:r>
              <w:rPr>
                <w:sz w:val="24"/>
                <w:szCs w:val="24"/>
                <w:lang w:val="el-GR"/>
              </w:rPr>
              <w:t>5.2   Επισημάνσεις συσκευασιών</w:t>
            </w:r>
            <w:r>
              <w:rPr>
                <w:sz w:val="24"/>
                <w:szCs w:val="24"/>
                <w:u w:val="dotted"/>
                <w:lang w:val="el-GR"/>
              </w:rPr>
              <w:t xml:space="preserve">                                                                      </w:t>
            </w:r>
            <w:r>
              <w:rPr>
                <w:sz w:val="24"/>
                <w:szCs w:val="24"/>
                <w:u w:val="dotted"/>
                <w:lang w:val="en-US"/>
              </w:rPr>
              <w:t>14</w:t>
            </w:r>
          </w:p>
        </w:tc>
      </w:tr>
      <w:tr>
        <w:trPr/>
        <w:tc>
          <w:tcPr>
            <w:tcW w:w="9740" w:type="dxa"/>
            <w:gridSpan w:val="2"/>
            <w:tcBorders/>
          </w:tcPr>
          <w:p>
            <w:pPr>
              <w:pStyle w:val="Normal"/>
              <w:spacing w:lineRule="auto" w:line="360"/>
              <w:jc w:val="center"/>
              <w:rPr/>
            </w:pPr>
            <w:r>
              <w:rPr>
                <w:sz w:val="24"/>
                <w:szCs w:val="24"/>
                <w:lang w:val="el-GR"/>
              </w:rPr>
              <w:t>6      ΑΠΑΙΤΗΣΕΙΣ ΣΥΜΜΟΡΦΩΣΗΣ ΥΛΙΚΟΥ</w:t>
            </w:r>
            <w:r>
              <w:rPr>
                <w:sz w:val="24"/>
                <w:szCs w:val="24"/>
                <w:u w:val="dotted"/>
                <w:lang w:val="el-GR"/>
              </w:rPr>
              <w:t xml:space="preserve">                                                  </w:t>
            </w:r>
            <w:r>
              <w:rPr>
                <w:sz w:val="24"/>
                <w:szCs w:val="24"/>
                <w:u w:val="dotted"/>
                <w:lang w:val="en-US"/>
              </w:rPr>
              <w:t>15</w:t>
            </w:r>
          </w:p>
        </w:tc>
      </w:tr>
      <w:tr>
        <w:trPr/>
        <w:tc>
          <w:tcPr>
            <w:tcW w:w="9740" w:type="dxa"/>
            <w:gridSpan w:val="2"/>
            <w:tcBorders/>
          </w:tcPr>
          <w:p>
            <w:pPr>
              <w:pStyle w:val="Normal"/>
              <w:spacing w:lineRule="auto" w:line="360"/>
              <w:jc w:val="center"/>
              <w:rPr/>
            </w:pPr>
            <w:r>
              <w:rPr>
                <w:sz w:val="24"/>
                <w:szCs w:val="24"/>
                <w:lang w:val="el-GR"/>
              </w:rPr>
              <w:t>6.1   Συνοδευτικά έγγραφα</w:t>
            </w:r>
            <w:r>
              <w:rPr>
                <w:sz w:val="24"/>
                <w:szCs w:val="24"/>
                <w:u w:val="dotted"/>
                <w:lang w:val="el-GR"/>
              </w:rPr>
              <w:t xml:space="preserve">                                                                                 </w:t>
            </w:r>
            <w:r>
              <w:rPr>
                <w:sz w:val="24"/>
                <w:szCs w:val="24"/>
                <w:u w:val="dotted"/>
                <w:lang w:val="en-US"/>
              </w:rPr>
              <w:t>15</w:t>
            </w:r>
          </w:p>
        </w:tc>
      </w:tr>
      <w:tr>
        <w:trPr/>
        <w:tc>
          <w:tcPr>
            <w:tcW w:w="9740" w:type="dxa"/>
            <w:gridSpan w:val="2"/>
            <w:tcBorders/>
          </w:tcPr>
          <w:p>
            <w:pPr>
              <w:pStyle w:val="Normal"/>
              <w:spacing w:lineRule="auto" w:line="360"/>
              <w:jc w:val="center"/>
              <w:rPr>
                <w:sz w:val="24"/>
                <w:szCs w:val="24"/>
                <w:u w:val="dotted"/>
                <w:lang w:val="el-GR"/>
              </w:rPr>
            </w:pPr>
            <w:r>
              <w:rPr>
                <w:sz w:val="24"/>
                <w:szCs w:val="24"/>
                <w:lang w:val="el-GR"/>
              </w:rPr>
              <w:t>6.2   Μακροσκοπικός Έλεγχος - Έλεγχος Διαστάσεων</w:t>
            </w:r>
            <w:r>
              <w:rPr>
                <w:sz w:val="24"/>
                <w:szCs w:val="24"/>
                <w:u w:val="dotted"/>
                <w:lang w:val="el-GR"/>
              </w:rPr>
              <w:t xml:space="preserve">                                     </w:t>
            </w:r>
            <w:r>
              <w:rPr>
                <w:sz w:val="24"/>
                <w:szCs w:val="24"/>
                <w:u w:val="dotted"/>
                <w:lang w:val="en-US"/>
              </w:rPr>
              <w:t>1</w:t>
            </w:r>
            <w:r>
              <w:rPr>
                <w:sz w:val="24"/>
                <w:szCs w:val="24"/>
                <w:u w:val="dotted"/>
                <w:lang w:val="el-GR"/>
              </w:rPr>
              <w:t>5</w:t>
            </w:r>
          </w:p>
        </w:tc>
      </w:tr>
      <w:tr>
        <w:trPr/>
        <w:tc>
          <w:tcPr>
            <w:tcW w:w="9740" w:type="dxa"/>
            <w:gridSpan w:val="2"/>
            <w:tcBorders/>
          </w:tcPr>
          <w:p>
            <w:pPr>
              <w:pStyle w:val="Normal"/>
              <w:spacing w:lineRule="auto" w:line="360"/>
              <w:jc w:val="center"/>
              <w:rPr/>
            </w:pPr>
            <w:r>
              <w:rPr>
                <w:sz w:val="24"/>
                <w:szCs w:val="24"/>
                <w:lang w:val="el-GR"/>
              </w:rPr>
              <w:t>7      ΥΠΗΡΕΣΙΕΣ ΥΠΟΣΤΗΡΙΞΗΣ</w:t>
            </w:r>
            <w:r>
              <w:rPr>
                <w:sz w:val="24"/>
                <w:szCs w:val="24"/>
                <w:u w:val="dotted"/>
                <w:lang w:val="el-GR"/>
              </w:rPr>
              <w:t xml:space="preserve">                                                                    </w:t>
            </w:r>
            <w:r>
              <w:rPr>
                <w:sz w:val="24"/>
                <w:szCs w:val="24"/>
                <w:u w:val="dotted"/>
                <w:lang w:val="en-US"/>
              </w:rPr>
              <w:t>17</w:t>
            </w:r>
          </w:p>
        </w:tc>
      </w:tr>
      <w:tr>
        <w:trPr/>
        <w:tc>
          <w:tcPr>
            <w:tcW w:w="9740" w:type="dxa"/>
            <w:gridSpan w:val="2"/>
            <w:tcBorders/>
          </w:tcPr>
          <w:p>
            <w:pPr>
              <w:pStyle w:val="Normal"/>
              <w:spacing w:lineRule="auto" w:line="360"/>
              <w:jc w:val="center"/>
              <w:rPr/>
            </w:pPr>
            <w:r>
              <w:rPr>
                <w:sz w:val="24"/>
                <w:szCs w:val="24"/>
                <w:lang w:val="el-GR"/>
              </w:rPr>
              <w:t>7.1   Εγγυήσεις</w:t>
            </w:r>
            <w:r>
              <w:rPr>
                <w:sz w:val="24"/>
                <w:szCs w:val="24"/>
                <w:u w:val="dotted"/>
                <w:lang w:val="el-GR"/>
              </w:rPr>
              <w:t xml:space="preserve">                                                                                                  </w:t>
            </w:r>
            <w:r>
              <w:rPr>
                <w:sz w:val="24"/>
                <w:szCs w:val="24"/>
                <w:u w:val="dotted"/>
                <w:lang w:val="en-US"/>
              </w:rPr>
              <w:t>17</w:t>
            </w:r>
          </w:p>
        </w:tc>
      </w:tr>
      <w:tr>
        <w:trPr/>
        <w:tc>
          <w:tcPr>
            <w:tcW w:w="9740" w:type="dxa"/>
            <w:gridSpan w:val="2"/>
            <w:tcBorders/>
          </w:tcPr>
          <w:p>
            <w:pPr>
              <w:pStyle w:val="Normal"/>
              <w:spacing w:lineRule="auto" w:line="360"/>
              <w:jc w:val="center"/>
              <w:rPr/>
            </w:pPr>
            <w:r>
              <w:rPr>
                <w:sz w:val="24"/>
                <w:szCs w:val="24"/>
                <w:lang w:val="el-GR"/>
              </w:rPr>
              <w:t>8      ΛΟΙΠΕΣ ΑΠΑΙΤΗΣΕΙΣ</w:t>
            </w:r>
            <w:r>
              <w:rPr>
                <w:sz w:val="24"/>
                <w:szCs w:val="24"/>
                <w:u w:val="dotted"/>
                <w:lang w:val="el-GR"/>
              </w:rPr>
              <w:t xml:space="preserve">                                                                               </w:t>
            </w:r>
            <w:r>
              <w:rPr>
                <w:sz w:val="24"/>
                <w:szCs w:val="24"/>
                <w:u w:val="dotted"/>
                <w:lang w:val="en-US"/>
              </w:rPr>
              <w:t>17</w:t>
            </w:r>
          </w:p>
        </w:tc>
      </w:tr>
      <w:tr>
        <w:trPr/>
        <w:tc>
          <w:tcPr>
            <w:tcW w:w="9740" w:type="dxa"/>
            <w:gridSpan w:val="2"/>
            <w:tcBorders/>
          </w:tcPr>
          <w:p>
            <w:pPr>
              <w:pStyle w:val="Normal"/>
              <w:spacing w:lineRule="auto" w:line="360"/>
              <w:jc w:val="center"/>
              <w:rPr/>
            </w:pPr>
            <w:r>
              <w:rPr>
                <w:sz w:val="24"/>
                <w:szCs w:val="24"/>
                <w:lang w:val="el-GR"/>
              </w:rPr>
              <w:t>8.1   Χρόνος παράδοσης</w:t>
            </w:r>
            <w:r>
              <w:rPr>
                <w:sz w:val="24"/>
                <w:szCs w:val="24"/>
                <w:u w:val="dotted"/>
                <w:lang w:val="el-GR"/>
              </w:rPr>
              <w:t xml:space="preserve">                                                                                   </w:t>
            </w:r>
            <w:r>
              <w:rPr>
                <w:sz w:val="24"/>
                <w:szCs w:val="24"/>
                <w:u w:val="dotted"/>
                <w:lang w:val="en-US"/>
              </w:rPr>
              <w:t>17</w:t>
            </w:r>
          </w:p>
        </w:tc>
      </w:tr>
      <w:tr>
        <w:trPr/>
        <w:tc>
          <w:tcPr>
            <w:tcW w:w="9740" w:type="dxa"/>
            <w:gridSpan w:val="2"/>
            <w:tcBorders/>
          </w:tcPr>
          <w:p>
            <w:pPr>
              <w:pStyle w:val="Normal"/>
              <w:spacing w:lineRule="auto" w:line="360"/>
              <w:jc w:val="center"/>
              <w:rPr/>
            </w:pPr>
            <w:r>
              <w:rPr>
                <w:sz w:val="24"/>
                <w:szCs w:val="24"/>
                <w:lang w:val="el-GR"/>
              </w:rPr>
              <w:t>8.2   Τόπος παράδοσης</w:t>
            </w:r>
            <w:r>
              <w:rPr>
                <w:sz w:val="24"/>
                <w:szCs w:val="24"/>
                <w:u w:val="dotted"/>
                <w:lang w:val="el-GR"/>
              </w:rPr>
              <w:t xml:space="preserve">                                                                                    </w:t>
            </w:r>
            <w:r>
              <w:rPr>
                <w:sz w:val="24"/>
                <w:szCs w:val="24"/>
                <w:u w:val="dotted"/>
                <w:lang w:val="en-US"/>
              </w:rPr>
              <w:t>17</w:t>
            </w:r>
          </w:p>
        </w:tc>
      </w:tr>
      <w:tr>
        <w:trPr/>
        <w:tc>
          <w:tcPr>
            <w:tcW w:w="9740" w:type="dxa"/>
            <w:gridSpan w:val="2"/>
            <w:tcBorders/>
          </w:tcPr>
          <w:p>
            <w:pPr>
              <w:pStyle w:val="Normal"/>
              <w:spacing w:lineRule="auto" w:line="360"/>
              <w:jc w:val="center"/>
              <w:rPr/>
            </w:pPr>
            <w:r>
              <w:rPr>
                <w:sz w:val="24"/>
                <w:szCs w:val="24"/>
                <w:lang w:val="el-GR"/>
              </w:rPr>
              <w:t>8.3   Αριθμός παρτίδων</w:t>
            </w:r>
            <w:r>
              <w:rPr>
                <w:sz w:val="24"/>
                <w:szCs w:val="24"/>
                <w:u w:val="dotted"/>
                <w:lang w:val="el-GR"/>
              </w:rPr>
              <w:t xml:space="preserve">                                                                                     </w:t>
            </w:r>
            <w:r>
              <w:rPr>
                <w:sz w:val="24"/>
                <w:szCs w:val="24"/>
                <w:u w:val="dotted"/>
                <w:lang w:val="en-US"/>
              </w:rPr>
              <w:t>17</w:t>
            </w:r>
          </w:p>
        </w:tc>
      </w:tr>
      <w:tr>
        <w:trPr/>
        <w:tc>
          <w:tcPr>
            <w:tcW w:w="9740" w:type="dxa"/>
            <w:gridSpan w:val="2"/>
            <w:tcBorders/>
          </w:tcPr>
          <w:p>
            <w:pPr>
              <w:pStyle w:val="Normal"/>
              <w:spacing w:lineRule="auto" w:line="360"/>
              <w:jc w:val="center"/>
              <w:rPr/>
            </w:pPr>
            <w:r>
              <w:rPr>
                <w:sz w:val="24"/>
                <w:szCs w:val="24"/>
                <w:lang w:val="el-GR"/>
              </w:rPr>
              <w:t>9      ΠΕΡΙΕΧΟΜΕΝΟ ΠΡΟΣΦΟΡΑΣ</w:t>
            </w:r>
            <w:r>
              <w:rPr>
                <w:sz w:val="24"/>
                <w:szCs w:val="24"/>
                <w:u w:val="dotted"/>
                <w:lang w:val="el-GR"/>
              </w:rPr>
              <w:t xml:space="preserve">                                                                </w:t>
            </w:r>
            <w:r>
              <w:rPr>
                <w:sz w:val="24"/>
                <w:szCs w:val="24"/>
                <w:u w:val="dotted"/>
                <w:lang w:val="en-US"/>
              </w:rPr>
              <w:t>17</w:t>
            </w:r>
          </w:p>
        </w:tc>
      </w:tr>
      <w:tr>
        <w:trPr/>
        <w:tc>
          <w:tcPr>
            <w:tcW w:w="9740" w:type="dxa"/>
            <w:gridSpan w:val="2"/>
            <w:tcBorders/>
          </w:tcPr>
          <w:p>
            <w:pPr>
              <w:pStyle w:val="Normal"/>
              <w:spacing w:lineRule="auto" w:line="360"/>
              <w:jc w:val="center"/>
              <w:rPr/>
            </w:pPr>
            <w:r>
              <w:rPr>
                <w:sz w:val="24"/>
                <w:szCs w:val="24"/>
                <w:lang w:val="el-GR"/>
              </w:rPr>
              <w:t>10    ΣΗΜΕΙΩΣΕΙΣ</w:t>
            </w:r>
            <w:r>
              <w:rPr>
                <w:sz w:val="24"/>
                <w:szCs w:val="24"/>
                <w:u w:val="dotted"/>
                <w:lang w:val="el-GR"/>
              </w:rPr>
              <w:t xml:space="preserve">                                                                                             </w:t>
            </w:r>
            <w:r>
              <w:rPr>
                <w:sz w:val="24"/>
                <w:szCs w:val="24"/>
                <w:u w:val="dotted"/>
                <w:lang w:val="en-US"/>
              </w:rPr>
              <w:t>18</w:t>
            </w:r>
          </w:p>
        </w:tc>
      </w:tr>
      <w:tr>
        <w:trPr/>
        <w:tc>
          <w:tcPr>
            <w:tcW w:w="9740" w:type="dxa"/>
            <w:gridSpan w:val="2"/>
            <w:tcBorders/>
          </w:tcPr>
          <w:p>
            <w:pPr>
              <w:pStyle w:val="Normal"/>
              <w:spacing w:lineRule="auto" w:line="360"/>
              <w:jc w:val="center"/>
              <w:rPr/>
            </w:pPr>
            <w:r>
              <w:rPr>
                <w:sz w:val="24"/>
                <w:szCs w:val="24"/>
                <w:lang w:val="el-GR"/>
              </w:rPr>
              <w:t>10.1 Λέξεις κλειδιά</w:t>
            </w:r>
            <w:r>
              <w:rPr>
                <w:sz w:val="24"/>
                <w:szCs w:val="24"/>
                <w:u w:val="dotted"/>
                <w:lang w:val="el-GR"/>
              </w:rPr>
              <w:t xml:space="preserve">                                                                                             </w:t>
            </w:r>
            <w:r>
              <w:rPr>
                <w:sz w:val="24"/>
                <w:szCs w:val="24"/>
                <w:u w:val="dotted"/>
                <w:lang w:val="en-US"/>
              </w:rPr>
              <w:t>18</w:t>
            </w:r>
          </w:p>
        </w:tc>
      </w:tr>
      <w:tr>
        <w:trPr/>
        <w:tc>
          <w:tcPr>
            <w:tcW w:w="9740" w:type="dxa"/>
            <w:gridSpan w:val="2"/>
            <w:tcBorders/>
          </w:tcPr>
          <w:p>
            <w:pPr>
              <w:pStyle w:val="Normal"/>
              <w:spacing w:lineRule="auto" w:line="360"/>
              <w:jc w:val="center"/>
              <w:rPr/>
            </w:pPr>
            <w:r>
              <w:rPr>
                <w:sz w:val="24"/>
                <w:szCs w:val="24"/>
                <w:lang w:val="el-GR"/>
              </w:rPr>
              <w:t>11    ΠΡΟΤΑΣΕΙΣ ΒΕΛΤΙΩΣΗΣ ΤΕΧΝΙΚΗΣ ΠΡΟΔΙΑΓΡΑΦΗΣ</w:t>
            </w:r>
            <w:r>
              <w:rPr>
                <w:sz w:val="24"/>
                <w:szCs w:val="24"/>
                <w:u w:val="dotted"/>
                <w:lang w:val="el-GR"/>
              </w:rPr>
              <w:t xml:space="preserve">                         </w:t>
            </w:r>
            <w:r>
              <w:rPr>
                <w:sz w:val="24"/>
                <w:szCs w:val="24"/>
                <w:u w:val="dotted"/>
                <w:lang w:val="en-US"/>
              </w:rPr>
              <w:t>18</w:t>
            </w:r>
          </w:p>
        </w:tc>
      </w:tr>
      <w:tr>
        <w:trPr/>
        <w:tc>
          <w:tcPr>
            <w:tcW w:w="9740" w:type="dxa"/>
            <w:gridSpan w:val="2"/>
            <w:tcBorders/>
          </w:tcPr>
          <w:p>
            <w:pPr>
              <w:pStyle w:val="Normal"/>
              <w:spacing w:lineRule="auto" w:line="360"/>
              <w:jc w:val="center"/>
              <w:rPr/>
            </w:pPr>
            <w:r>
              <w:rPr>
                <w:sz w:val="24"/>
                <w:szCs w:val="24"/>
                <w:lang w:val="el-GR"/>
              </w:rPr>
              <w:t xml:space="preserve">        </w:t>
            </w:r>
            <w:r>
              <w:rPr>
                <w:sz w:val="24"/>
                <w:szCs w:val="24"/>
                <w:lang w:val="el-GR"/>
              </w:rPr>
              <w:t xml:space="preserve">ΠΡΟΣΘΗΚΗ ΙΙ (Πίνακες Ταξινόμησης Ι έως </w:t>
            </w:r>
            <w:r>
              <w:rPr>
                <w:sz w:val="24"/>
                <w:szCs w:val="24"/>
                <w:lang w:val="en-US"/>
              </w:rPr>
              <w:t>V</w:t>
            </w:r>
            <w:r>
              <w:rPr>
                <w:sz w:val="24"/>
                <w:szCs w:val="24"/>
                <w:u w:val="dotted"/>
                <w:lang w:val="el-GR"/>
              </w:rPr>
              <w:t xml:space="preserve">Ι)                                        </w:t>
            </w:r>
            <w:r>
              <w:rPr>
                <w:sz w:val="24"/>
                <w:szCs w:val="24"/>
                <w:u w:val="dotted"/>
                <w:lang w:val="en-US"/>
              </w:rPr>
              <w:t>19</w:t>
            </w:r>
          </w:p>
        </w:tc>
      </w:tr>
      <w:tr>
        <w:trPr/>
        <w:tc>
          <w:tcPr>
            <w:tcW w:w="9740" w:type="dxa"/>
            <w:gridSpan w:val="2"/>
            <w:tcBorders/>
          </w:tcPr>
          <w:p>
            <w:pPr>
              <w:pStyle w:val="Normal"/>
              <w:spacing w:lineRule="auto" w:line="360"/>
              <w:rPr/>
            </w:pPr>
            <w:r>
              <w:rPr>
                <w:rFonts w:eastAsia="Arial"/>
                <w:sz w:val="24"/>
                <w:szCs w:val="24"/>
                <w:lang w:val="el-GR"/>
              </w:rPr>
              <w:t xml:space="preserve">        </w:t>
            </w:r>
            <w:r>
              <w:rPr>
                <w:sz w:val="24"/>
                <w:szCs w:val="24"/>
                <w:lang w:val="el-GR"/>
              </w:rPr>
              <w:t>ΕΓΚΡΙΣΗ ΤΕΧΝΙΚΗΣ ΠΡΟΔΙΑΓΡΑΦΗΣ</w:t>
            </w:r>
            <w:r>
              <w:rPr>
                <w:sz w:val="24"/>
                <w:szCs w:val="24"/>
                <w:u w:val="dotted"/>
                <w:lang w:val="el-GR"/>
              </w:rPr>
              <w:t xml:space="preserve">                                                            </w:t>
            </w:r>
            <w:r>
              <w:rPr>
                <w:sz w:val="24"/>
                <w:szCs w:val="24"/>
                <w:u w:val="dotted"/>
                <w:lang w:val="en-US"/>
              </w:rPr>
              <w:t>22</w:t>
            </w:r>
          </w:p>
        </w:tc>
      </w:tr>
    </w:tbl>
    <w:p>
      <w:pPr>
        <w:pStyle w:val="Normal"/>
        <w:rPr>
          <w:sz w:val="24"/>
          <w:szCs w:val="24"/>
          <w:lang w:val="el-GR"/>
        </w:rPr>
      </w:pPr>
      <w:r>
        <w:rPr>
          <w:sz w:val="24"/>
          <w:szCs w:val="24"/>
          <w:lang w:val="el-GR"/>
        </w:rPr>
      </w:r>
    </w:p>
    <w:p>
      <w:pPr>
        <w:pStyle w:val="Normal"/>
        <w:rPr>
          <w:sz w:val="24"/>
          <w:szCs w:val="24"/>
          <w:lang w:val="el-GR"/>
        </w:rPr>
      </w:pPr>
      <w:r>
        <w:rPr>
          <w:sz w:val="24"/>
          <w:szCs w:val="24"/>
          <w:lang w:val="el-GR"/>
        </w:rPr>
      </w:r>
    </w:p>
    <w:p>
      <w:pPr>
        <w:pStyle w:val="Normal"/>
        <w:rPr>
          <w:sz w:val="24"/>
          <w:szCs w:val="24"/>
          <w:lang w:val="el-GR"/>
        </w:rPr>
      </w:pPr>
      <w:r>
        <w:rPr>
          <w:sz w:val="24"/>
          <w:szCs w:val="24"/>
          <w:lang w:val="el-GR"/>
        </w:rPr>
      </w:r>
    </w:p>
    <w:p>
      <w:pPr>
        <w:pStyle w:val="Normal"/>
        <w:rPr>
          <w:rFonts w:cs="Arial"/>
          <w:sz w:val="24"/>
          <w:szCs w:val="24"/>
          <w:lang w:val="el-GR"/>
        </w:rPr>
      </w:pPr>
      <w:r>
        <w:rPr>
          <w:b/>
          <w:sz w:val="24"/>
          <w:szCs w:val="24"/>
          <w:lang w:val="el-GR"/>
        </w:rPr>
        <w:t>1 ΠΕΔΙΟ ΕΦΑΡΜΟΓΗΣ</w:t>
      </w:r>
    </w:p>
    <w:p>
      <w:pPr>
        <w:pStyle w:val="Normal"/>
        <w:rPr>
          <w:b/>
          <w:sz w:val="24"/>
          <w:szCs w:val="24"/>
          <w:lang w:val="el-GR"/>
        </w:rPr>
      </w:pPr>
      <w:r>
        <w:rPr>
          <w:rFonts w:cs="Arial"/>
          <w:sz w:val="24"/>
          <w:szCs w:val="24"/>
          <w:lang w:val="el-GR"/>
        </w:rPr>
        <w:t>Η παρούσα</w:t>
      </w:r>
      <w:r>
        <w:rPr>
          <w:rFonts w:cs="Arial"/>
          <w:b/>
          <w:sz w:val="24"/>
          <w:szCs w:val="24"/>
          <w:lang w:val="el-GR"/>
        </w:rPr>
        <w:t xml:space="preserve"> </w:t>
      </w:r>
      <w:r>
        <w:rPr>
          <w:rFonts w:cs="Arial"/>
          <w:sz w:val="24"/>
          <w:szCs w:val="24"/>
          <w:lang w:val="el-GR"/>
        </w:rPr>
        <w:t xml:space="preserve">Προδιαγραφή Ενόπλων Δυνάμεων (ΠΕΔ) καλύπτει τις απαιτήσεις προμήθειας των περαστών διακριτικών βαθμών και ειδικοτήτων του προσωπικού του Πολεμικού Ναυτικού και συγκεκριμένα των υπαξιωματικών (Υπαξ/κων), των Επαγγελματιών Οπλιτών (ΕΠ.ΟΠ) και των Ναυτοδιόπων (Ν/Δ, προσωπικό στρατευμένης θητείας) με βάση τις ανάγκες του Πολεμικού Ναυτικού (ΠΝ). </w:t>
      </w:r>
    </w:p>
    <w:p>
      <w:pPr>
        <w:pStyle w:val="Normal"/>
        <w:rPr>
          <w:rFonts w:cs="Arial"/>
          <w:b/>
          <w:sz w:val="24"/>
          <w:szCs w:val="24"/>
          <w:lang w:val="el-GR"/>
        </w:rPr>
      </w:pPr>
      <w:r>
        <w:rPr>
          <w:b/>
          <w:sz w:val="24"/>
          <w:szCs w:val="24"/>
          <w:lang w:val="el-GR"/>
        </w:rPr>
        <w:tab/>
        <w:tab/>
        <w:tab/>
        <w:tab/>
      </w:r>
    </w:p>
    <w:p>
      <w:pPr>
        <w:pStyle w:val="Normal"/>
        <w:numPr>
          <w:ilvl w:val="0"/>
          <w:numId w:val="0"/>
        </w:numPr>
        <w:ind w:hanging="0" w:start="0" w:end="0"/>
        <w:outlineLvl w:val="0"/>
        <w:rPr>
          <w:sz w:val="24"/>
          <w:szCs w:val="24"/>
        </w:rPr>
      </w:pPr>
      <w:r>
        <w:rPr>
          <w:rFonts w:cs="Arial"/>
          <w:b/>
          <w:sz w:val="24"/>
          <w:szCs w:val="24"/>
          <w:lang w:val="el-GR"/>
        </w:rPr>
        <w:t>2 ΣΧΕΤΙΚΑ ΕΓΓΡΑΦΑ</w:t>
      </w:r>
    </w:p>
    <w:p>
      <w:pPr>
        <w:pStyle w:val="Normal"/>
        <w:rPr>
          <w:sz w:val="24"/>
          <w:szCs w:val="24"/>
        </w:rPr>
      </w:pPr>
      <w:r>
        <w:rPr>
          <w:rFonts w:cs="Arial"/>
          <w:b/>
          <w:sz w:val="24"/>
          <w:szCs w:val="24"/>
          <w:lang w:val="el-GR"/>
        </w:rPr>
        <w:t>2.1</w:t>
      </w:r>
      <w:r>
        <w:rPr>
          <w:rFonts w:cs="Arial"/>
          <w:sz w:val="24"/>
          <w:szCs w:val="24"/>
          <w:lang w:val="el-GR"/>
        </w:rPr>
        <w:t xml:space="preserve"> </w:t>
      </w:r>
      <w:r>
        <w:rPr>
          <w:rFonts w:cs="Arial"/>
          <w:b/>
          <w:sz w:val="24"/>
          <w:szCs w:val="24"/>
          <w:lang w:val="el-GR"/>
        </w:rPr>
        <w:t>Νομοθεσία</w:t>
      </w:r>
      <w:r>
        <w:rPr>
          <w:rFonts w:cs="Arial"/>
          <w:sz w:val="24"/>
          <w:szCs w:val="24"/>
          <w:lang w:val="el-GR"/>
        </w:rPr>
        <w:t xml:space="preserve"> </w:t>
      </w:r>
    </w:p>
    <w:p>
      <w:pPr>
        <w:pStyle w:val="Normal"/>
        <w:rPr>
          <w:sz w:val="24"/>
          <w:szCs w:val="24"/>
        </w:rPr>
      </w:pPr>
      <w:r>
        <w:rPr>
          <w:b/>
          <w:sz w:val="24"/>
          <w:szCs w:val="24"/>
        </w:rPr>
        <w:t>2.1.1</w:t>
      </w:r>
      <w:r>
        <w:rPr>
          <w:sz w:val="24"/>
          <w:szCs w:val="24"/>
        </w:rPr>
        <w:t xml:space="preserve"> Κανονισμός (ΕΚ) αριθ. 1907/2006 του Ευρωπαϊκού Κοινοβουλίου και του Συμβουλίου της 18ης Δεκεμβρίου 2006, για την καταχώριση, την αξιολόγηση, την αδειοδότηση και τους περιορισμούς των χημικών προϊόντων (</w:t>
      </w:r>
      <w:r>
        <w:rPr>
          <w:sz w:val="24"/>
          <w:szCs w:val="24"/>
          <w:lang w:val="en-US"/>
        </w:rPr>
        <w:t>REACH</w:t>
      </w:r>
      <w:r>
        <w:rPr>
          <w:sz w:val="24"/>
          <w:szCs w:val="24"/>
        </w:rPr>
        <w:t>) και για την ίδρυση του Ευρωπαϊκού Οργανισμού Χημικών Προϊόντων καθώς και για την τροποποίηση της οδηγίας 1999/45/ΕΚ και για κατάργηση του κανονισμού (ΕΟΚ) αριθ. 793/93 του Συμβουλίου και του κανονισμού (ΕΚ) αριθ. 1488/94 της Επιτροπής καθώς και της οδηγίας 76/769/ΕΟΚ του Συμβουλίου και των οδηγιών της Επιτροπής 91/155/ΕΟΚ, 93/67/ΕΟΚ, 93/105/ΕΚ και 2000/21/ΕΚ,  όπως τροποποιήθηκε και ισχύει.</w:t>
      </w:r>
    </w:p>
    <w:p>
      <w:pPr>
        <w:pStyle w:val="Normal"/>
        <w:rPr>
          <w:sz w:val="24"/>
          <w:szCs w:val="24"/>
        </w:rPr>
      </w:pPr>
      <w:r>
        <w:rPr>
          <w:b/>
          <w:bCs/>
          <w:sz w:val="24"/>
          <w:szCs w:val="24"/>
        </w:rPr>
        <w:t>2.1.2</w:t>
      </w:r>
      <w:r>
        <w:rPr>
          <w:sz w:val="24"/>
          <w:szCs w:val="24"/>
        </w:rPr>
        <w:t xml:space="preserve"> Κανονισμός (ΕΚ) αριθ. 2195/2002 του Ευρωπαϊκού Κοινοβουλίου και του Συμβουλίου της 5</w:t>
      </w:r>
      <w:r>
        <w:rPr>
          <w:sz w:val="24"/>
          <w:szCs w:val="24"/>
          <w:vertAlign w:val="superscript"/>
        </w:rPr>
        <w:t>ης</w:t>
      </w:r>
      <w:r>
        <w:rPr>
          <w:sz w:val="24"/>
          <w:szCs w:val="24"/>
        </w:rPr>
        <w:t xml:space="preserve"> Νοεμβρίου 2002 περί του κοινού λεξιλογίου για τις δημόσιες συμβάσεις (CPV) όπως έχει τροποποιηθεί και ισχύει.</w:t>
      </w:r>
    </w:p>
    <w:p>
      <w:pPr>
        <w:pStyle w:val="Normal"/>
        <w:rPr>
          <w:sz w:val="24"/>
          <w:szCs w:val="24"/>
        </w:rPr>
      </w:pPr>
      <w:r>
        <w:rPr>
          <w:sz w:val="24"/>
          <w:szCs w:val="24"/>
        </w:rPr>
      </w:r>
    </w:p>
    <w:p>
      <w:pPr>
        <w:pStyle w:val="Normal"/>
        <w:rPr/>
      </w:pPr>
      <w:r>
        <w:rPr>
          <w:rStyle w:val="Arial115pt"/>
          <w:rFonts w:cs="Arial"/>
          <w:sz w:val="24"/>
          <w:szCs w:val="24"/>
          <w:lang w:val="el-GR"/>
        </w:rPr>
        <w:t>2.2 Πρότυπα</w:t>
      </w:r>
    </w:p>
    <w:p>
      <w:pPr>
        <w:pStyle w:val="Normal"/>
        <w:numPr>
          <w:ilvl w:val="0"/>
          <w:numId w:val="3"/>
        </w:numPr>
        <w:rPr>
          <w:sz w:val="24"/>
          <w:szCs w:val="24"/>
          <w:lang w:val="el-GR"/>
        </w:rPr>
      </w:pPr>
      <w:r>
        <w:rPr>
          <w:rStyle w:val="Arial115pt"/>
          <w:rFonts w:cs="Arial"/>
          <w:b w:val="false"/>
          <w:sz w:val="24"/>
          <w:szCs w:val="24"/>
          <w:lang w:val="el-GR"/>
        </w:rPr>
        <w:t xml:space="preserve">ΕΝ ISO 105-A01:2010 «Textiles - Tests for color fastness - Part A01: General principles of testing». </w:t>
      </w:r>
    </w:p>
    <w:p>
      <w:pPr>
        <w:pStyle w:val="Normal"/>
        <w:numPr>
          <w:ilvl w:val="0"/>
          <w:numId w:val="3"/>
        </w:numPr>
        <w:rPr>
          <w:sz w:val="24"/>
          <w:szCs w:val="24"/>
          <w:lang w:val="el-GR"/>
        </w:rPr>
      </w:pPr>
      <w:r>
        <w:rPr>
          <w:sz w:val="24"/>
          <w:szCs w:val="24"/>
          <w:lang w:val="el-GR"/>
        </w:rPr>
        <w:t>EN ISO 105-B01:2014 «</w:t>
      </w:r>
      <w:r>
        <w:rPr>
          <w:rStyle w:val="Arial115pt"/>
          <w:b w:val="false"/>
          <w:sz w:val="24"/>
          <w:szCs w:val="24"/>
          <w:lang w:val="el-GR"/>
        </w:rPr>
        <w:t>Textiles - Tests for color fastness - Part B01: Color fastness to light: Daylight».</w:t>
      </w:r>
    </w:p>
    <w:p>
      <w:pPr>
        <w:pStyle w:val="Normal"/>
        <w:numPr>
          <w:ilvl w:val="0"/>
          <w:numId w:val="3"/>
        </w:numPr>
        <w:rPr>
          <w:sz w:val="24"/>
          <w:szCs w:val="24"/>
          <w:lang w:val="el-GR"/>
        </w:rPr>
      </w:pPr>
      <w:r>
        <w:rPr>
          <w:sz w:val="24"/>
          <w:szCs w:val="24"/>
          <w:lang w:val="el-GR"/>
        </w:rPr>
        <w:t>EN ISO 105-B02:2014 «</w:t>
      </w:r>
      <w:r>
        <w:rPr>
          <w:rStyle w:val="Arial115pt"/>
          <w:b w:val="false"/>
          <w:sz w:val="24"/>
          <w:szCs w:val="24"/>
          <w:lang w:val="el-GR"/>
        </w:rPr>
        <w:t>Textiles - Tests for color fastness - Part B02: Color fastness to artificial light: Xenon arc fading lamp test».</w:t>
      </w:r>
      <w:r>
        <w:rPr>
          <w:bCs/>
          <w:sz w:val="24"/>
          <w:szCs w:val="24"/>
          <w:lang w:val="el-GR"/>
        </w:rPr>
        <w:t xml:space="preserve"> </w:t>
      </w:r>
    </w:p>
    <w:p>
      <w:pPr>
        <w:pStyle w:val="Normal"/>
        <w:numPr>
          <w:ilvl w:val="0"/>
          <w:numId w:val="3"/>
        </w:numPr>
        <w:rPr>
          <w:sz w:val="24"/>
          <w:szCs w:val="24"/>
          <w:lang w:val="el-GR"/>
        </w:rPr>
      </w:pPr>
      <w:r>
        <w:rPr>
          <w:sz w:val="24"/>
          <w:szCs w:val="24"/>
          <w:lang w:val="el-GR"/>
        </w:rPr>
        <w:t>EN ISO 105-C06:2010 «</w:t>
      </w:r>
      <w:r>
        <w:rPr>
          <w:rStyle w:val="Arial115pt"/>
          <w:b w:val="false"/>
          <w:sz w:val="24"/>
          <w:szCs w:val="24"/>
          <w:lang w:val="el-GR"/>
        </w:rPr>
        <w:t>Textiles - Tests for color fastness - Part C06: Color fastness to domestic and commercial laundering».</w:t>
      </w:r>
    </w:p>
    <w:p>
      <w:pPr>
        <w:pStyle w:val="Normal"/>
        <w:numPr>
          <w:ilvl w:val="0"/>
          <w:numId w:val="3"/>
        </w:numPr>
        <w:rPr>
          <w:rStyle w:val="Arial115pt"/>
          <w:b w:val="false"/>
          <w:sz w:val="24"/>
          <w:szCs w:val="24"/>
          <w:lang w:val="el-GR"/>
        </w:rPr>
      </w:pPr>
      <w:r>
        <w:rPr>
          <w:sz w:val="24"/>
          <w:szCs w:val="24"/>
          <w:lang w:val="el-GR"/>
        </w:rPr>
        <w:t>EN ISO 105-D01:2010 «</w:t>
      </w:r>
      <w:r>
        <w:rPr>
          <w:rStyle w:val="Arial115pt"/>
          <w:b w:val="false"/>
          <w:sz w:val="24"/>
          <w:szCs w:val="24"/>
          <w:lang w:val="el-GR"/>
        </w:rPr>
        <w:t>Textiles - Tests for color fastness - Part D01: Color fastness to dry cleaning using perchloroethylene solvent».</w:t>
      </w:r>
    </w:p>
    <w:p>
      <w:pPr>
        <w:pStyle w:val="Normal"/>
        <w:numPr>
          <w:ilvl w:val="0"/>
          <w:numId w:val="3"/>
        </w:numPr>
        <w:rPr>
          <w:rStyle w:val="Arial115pt"/>
          <w:b w:val="false"/>
          <w:sz w:val="24"/>
          <w:szCs w:val="24"/>
          <w:lang w:val="el-GR"/>
        </w:rPr>
      </w:pPr>
      <w:r>
        <w:rPr>
          <w:rStyle w:val="Arial115pt"/>
          <w:b w:val="false"/>
          <w:sz w:val="24"/>
          <w:szCs w:val="24"/>
          <w:lang w:val="el-GR"/>
        </w:rPr>
        <w:t>EN ISO 105-X12:2002 «Textiles - Tests for color fastness - PartX12: Color fastness to rubbing».</w:t>
      </w:r>
    </w:p>
    <w:p>
      <w:pPr>
        <w:pStyle w:val="Normal"/>
        <w:numPr>
          <w:ilvl w:val="0"/>
          <w:numId w:val="3"/>
        </w:numPr>
        <w:rPr>
          <w:rStyle w:val="Arial115pt"/>
          <w:b w:val="false"/>
          <w:sz w:val="24"/>
          <w:szCs w:val="24"/>
          <w:lang w:val="el-GR"/>
        </w:rPr>
      </w:pPr>
      <w:r>
        <w:rPr>
          <w:rStyle w:val="Arial115pt"/>
          <w:b w:val="false"/>
          <w:sz w:val="24"/>
          <w:szCs w:val="24"/>
          <w:lang w:val="el-GR"/>
        </w:rPr>
        <w:t>EN ISO 1833-1:2010 «Textiles quantitative chemical analysis Part 1: General principles of testing».</w:t>
      </w:r>
    </w:p>
    <w:p>
      <w:pPr>
        <w:pStyle w:val="Normal"/>
        <w:numPr>
          <w:ilvl w:val="0"/>
          <w:numId w:val="3"/>
        </w:numPr>
        <w:rPr>
          <w:rFonts w:cs="Arial"/>
          <w:sz w:val="24"/>
          <w:szCs w:val="24"/>
          <w:lang w:val="el-GR"/>
        </w:rPr>
      </w:pPr>
      <w:r>
        <w:rPr>
          <w:rStyle w:val="Arial115pt"/>
          <w:b w:val="false"/>
          <w:sz w:val="24"/>
          <w:szCs w:val="24"/>
          <w:lang w:val="el-GR"/>
        </w:rPr>
        <w:t>EN ISO 1833-2:2010 «Textiles quantitative chemical analysis Part 2: Ternary fiber mixtures».</w:t>
      </w:r>
    </w:p>
    <w:p>
      <w:pPr>
        <w:pStyle w:val="Normal"/>
        <w:numPr>
          <w:ilvl w:val="0"/>
          <w:numId w:val="3"/>
        </w:numPr>
        <w:rPr>
          <w:rFonts w:eastAsia="Arial" w:cs="Arial"/>
          <w:sz w:val="24"/>
          <w:szCs w:val="24"/>
          <w:lang w:val="el-GR"/>
        </w:rPr>
      </w:pPr>
      <w:r>
        <w:rPr>
          <w:rFonts w:cs="Arial"/>
          <w:sz w:val="24"/>
          <w:szCs w:val="24"/>
          <w:lang w:val="el-GR"/>
        </w:rPr>
        <w:t>ΕΝ ISO 9001 «Συστήματα διαχείρισης της ποιότητας - Απαιτήσεις».</w:t>
      </w:r>
    </w:p>
    <w:p>
      <w:pPr>
        <w:pStyle w:val="Normal"/>
        <w:numPr>
          <w:ilvl w:val="0"/>
          <w:numId w:val="3"/>
        </w:numPr>
        <w:rPr>
          <w:rFonts w:cs="Arial"/>
          <w:sz w:val="24"/>
          <w:szCs w:val="24"/>
          <w:lang w:val="el-GR"/>
        </w:rPr>
      </w:pPr>
      <w:r>
        <w:rPr>
          <w:rFonts w:eastAsia="Arial" w:cs="Arial"/>
          <w:sz w:val="24"/>
          <w:szCs w:val="24"/>
          <w:lang w:val="el-GR"/>
        </w:rPr>
        <w:t xml:space="preserve"> </w:t>
      </w:r>
      <w:r>
        <w:rPr>
          <w:rFonts w:cs="Arial"/>
          <w:sz w:val="24"/>
          <w:szCs w:val="24"/>
          <w:lang w:val="el-GR"/>
        </w:rPr>
        <w:t>EN 12127 «Textiles, - Fabrics - Determination of mass per unit area using small samples».</w:t>
      </w:r>
    </w:p>
    <w:p>
      <w:pPr>
        <w:pStyle w:val="Normal"/>
        <w:numPr>
          <w:ilvl w:val="0"/>
          <w:numId w:val="3"/>
        </w:numPr>
        <w:rPr>
          <w:rFonts w:cs="Arial"/>
          <w:sz w:val="24"/>
          <w:szCs w:val="24"/>
          <w:lang w:val="el-GR"/>
        </w:rPr>
      </w:pPr>
      <w:r>
        <w:rPr>
          <w:rFonts w:cs="Arial"/>
          <w:sz w:val="24"/>
          <w:szCs w:val="24"/>
          <w:lang w:val="el-GR"/>
        </w:rPr>
        <w:t>EN 20105-A02:1994 «</w:t>
      </w:r>
      <w:r>
        <w:rPr>
          <w:rStyle w:val="Arial115pt"/>
          <w:rFonts w:cs="Arial"/>
          <w:b w:val="false"/>
          <w:sz w:val="24"/>
          <w:szCs w:val="24"/>
          <w:lang w:val="el-GR"/>
        </w:rPr>
        <w:t>Textiles - Tests for color fastness - Part A02: Grey scale for assessing change in color».</w:t>
      </w:r>
    </w:p>
    <w:p>
      <w:pPr>
        <w:pStyle w:val="Normal"/>
        <w:numPr>
          <w:ilvl w:val="0"/>
          <w:numId w:val="3"/>
        </w:numPr>
        <w:rPr>
          <w:bCs/>
          <w:sz w:val="24"/>
          <w:szCs w:val="24"/>
          <w:lang w:val="el-GR"/>
        </w:rPr>
      </w:pPr>
      <w:r>
        <w:rPr>
          <w:rFonts w:cs="Arial"/>
          <w:sz w:val="24"/>
          <w:szCs w:val="24"/>
          <w:lang w:val="el-GR"/>
        </w:rPr>
        <w:t>ISO 2859-1:1999 + Amd 1:2011 «Sampling procedures for inspection by attributes – Part1: Sampling schemes indexed by acceptance quality limit (AQL) for lot-by-lot inspection».</w:t>
      </w:r>
    </w:p>
    <w:p>
      <w:pPr>
        <w:pStyle w:val="Normal"/>
        <w:numPr>
          <w:ilvl w:val="0"/>
          <w:numId w:val="3"/>
        </w:numPr>
        <w:rPr>
          <w:rFonts w:cs="Arial"/>
          <w:bCs/>
          <w:sz w:val="24"/>
          <w:szCs w:val="24"/>
          <w:lang w:val="el-GR"/>
        </w:rPr>
      </w:pPr>
      <w:r>
        <w:rPr>
          <w:rFonts w:cs="Arial"/>
          <w:bCs/>
          <w:sz w:val="24"/>
          <w:szCs w:val="24"/>
          <w:lang w:val="el-GR"/>
        </w:rPr>
        <w:t>ISO 7211-1 «Textiles - Woven fabrics - Construction - Methods of analysis- Part 1: Methods for the presentation of a weave diagram and plans for drafting, denting and lifting».</w:t>
      </w:r>
    </w:p>
    <w:p>
      <w:pPr>
        <w:pStyle w:val="Normal"/>
        <w:numPr>
          <w:ilvl w:val="0"/>
          <w:numId w:val="3"/>
        </w:numPr>
        <w:rPr>
          <w:lang w:val="el-GR"/>
        </w:rPr>
      </w:pPr>
      <w:r>
        <w:rPr>
          <w:rFonts w:cs="Arial"/>
          <w:bCs/>
          <w:sz w:val="24"/>
          <w:szCs w:val="24"/>
          <w:lang w:val="el-GR"/>
        </w:rPr>
        <w:t xml:space="preserve">ISO 7211-5:1984 «Textiles - Woven fabrics - Construction - Methods of analysis- Part 5: Determination of linear density of yarn removed from fabric». </w:t>
      </w:r>
    </w:p>
    <w:p>
      <w:pPr>
        <w:pStyle w:val="Normal"/>
        <w:rPr>
          <w:lang w:val="el-GR"/>
        </w:rPr>
      </w:pPr>
      <w:r>
        <w:rPr>
          <w:lang w:val="el-GR"/>
        </w:rPr>
      </w:r>
    </w:p>
    <w:p>
      <w:pPr>
        <w:pStyle w:val="Normal"/>
        <w:rPr>
          <w:rFonts w:cs="Arial"/>
          <w:b/>
          <w:sz w:val="24"/>
          <w:szCs w:val="24"/>
          <w:lang w:val="el-GR"/>
        </w:rPr>
      </w:pPr>
      <w:r>
        <w:rPr>
          <w:rFonts w:cs="Arial"/>
          <w:b/>
          <w:sz w:val="24"/>
          <w:szCs w:val="24"/>
          <w:lang w:val="el-GR"/>
        </w:rPr>
        <w:t>2.3 Τεχνικές Προδιαγραφές</w:t>
      </w:r>
    </w:p>
    <w:p>
      <w:pPr>
        <w:pStyle w:val="Normal"/>
        <w:ind w:hanging="426" w:start="426" w:end="0"/>
        <w:rPr>
          <w:rFonts w:cs="Arial"/>
          <w:b/>
          <w:sz w:val="24"/>
          <w:szCs w:val="24"/>
          <w:lang w:val="el-GR"/>
        </w:rPr>
      </w:pPr>
      <w:r>
        <w:rPr>
          <w:rFonts w:cs="Arial"/>
          <w:b/>
          <w:sz w:val="24"/>
          <w:szCs w:val="24"/>
          <w:lang w:val="el-GR"/>
        </w:rPr>
        <w:t xml:space="preserve">2.3.1 </w:t>
      </w:r>
      <w:r>
        <w:rPr>
          <w:rFonts w:cs="Arial"/>
          <w:sz w:val="24"/>
          <w:szCs w:val="24"/>
          <w:lang w:val="el-GR"/>
        </w:rPr>
        <w:t>Η Τεχνική Προδιαγραφή ΠΓΕΣ-ΕΔΕ-1286/(01-2002) του ΓΕΣ.</w:t>
      </w:r>
    </w:p>
    <w:p>
      <w:pPr>
        <w:pStyle w:val="Normal"/>
        <w:ind w:hanging="426" w:start="426" w:end="0"/>
        <w:rPr>
          <w:rFonts w:cs="Arial"/>
          <w:b/>
          <w:sz w:val="24"/>
          <w:szCs w:val="24"/>
          <w:lang w:val="el-GR"/>
        </w:rPr>
      </w:pPr>
      <w:r>
        <w:rPr>
          <w:rFonts w:cs="Arial"/>
          <w:b/>
          <w:sz w:val="24"/>
          <w:szCs w:val="24"/>
          <w:lang w:val="el-GR"/>
        </w:rPr>
      </w:r>
    </w:p>
    <w:p>
      <w:pPr>
        <w:pStyle w:val="Normal"/>
        <w:ind w:hanging="426" w:start="426" w:end="0"/>
        <w:rPr>
          <w:rFonts w:cs="Arial"/>
          <w:b/>
          <w:sz w:val="24"/>
          <w:szCs w:val="24"/>
          <w:lang w:val="el-GR"/>
        </w:rPr>
      </w:pPr>
      <w:r>
        <w:rPr>
          <w:rFonts w:cs="Arial"/>
          <w:b/>
          <w:sz w:val="24"/>
          <w:szCs w:val="24"/>
          <w:lang w:val="el-GR"/>
        </w:rPr>
        <w:t>2.4 Λοιπά έγγραφα</w:t>
      </w:r>
    </w:p>
    <w:p>
      <w:pPr>
        <w:pStyle w:val="Normal"/>
        <w:ind w:hanging="426" w:start="426" w:end="0"/>
        <w:rPr>
          <w:rFonts w:cs="Arial"/>
          <w:b w:val="false"/>
          <w:bCs w:val="false"/>
          <w:sz w:val="24"/>
          <w:szCs w:val="24"/>
          <w:lang w:val="el-GR"/>
        </w:rPr>
      </w:pPr>
      <w:r>
        <w:rPr>
          <w:rFonts w:cs="Arial"/>
          <w:b/>
          <w:bCs/>
          <w:sz w:val="24"/>
          <w:szCs w:val="24"/>
          <w:lang w:val="el-GR"/>
        </w:rPr>
        <w:t xml:space="preserve">2.4.1 </w:t>
      </w:r>
      <w:r>
        <w:rPr>
          <w:rFonts w:cs="Arial"/>
          <w:b w:val="false"/>
          <w:bCs w:val="false"/>
          <w:sz w:val="24"/>
          <w:szCs w:val="24"/>
          <w:lang w:val="el-GR"/>
        </w:rPr>
        <w:t>Το έγγραφο Φ.456.2/5016/Σ.48516/ 17 Μαρ 2013 / ΓΕΝ/Β3</w:t>
      </w:r>
    </w:p>
    <w:p>
      <w:pPr>
        <w:pStyle w:val="Normal"/>
        <w:ind w:hanging="426" w:start="426" w:end="0"/>
        <w:rPr>
          <w:rFonts w:cs="Arial"/>
          <w:b w:val="false"/>
          <w:bCs w:val="false"/>
          <w:sz w:val="24"/>
          <w:szCs w:val="24"/>
          <w:lang w:val="el-GR"/>
        </w:rPr>
      </w:pPr>
      <w:r>
        <w:rPr>
          <w:rFonts w:cs="Arial"/>
          <w:b w:val="false"/>
          <w:bCs w:val="false"/>
          <w:sz w:val="24"/>
          <w:szCs w:val="24"/>
          <w:lang w:val="el-GR"/>
        </w:rPr>
      </w:r>
    </w:p>
    <w:p>
      <w:pPr>
        <w:pStyle w:val="Normal"/>
        <w:shd w:val="clear" w:fill="FFFFFF"/>
        <w:tabs>
          <w:tab w:val="clear" w:pos="720"/>
          <w:tab w:val="left" w:pos="293" w:leader="none"/>
        </w:tabs>
        <w:rPr>
          <w:rFonts w:eastAsia="HiddenHorzOCR" w:cs="Arial"/>
          <w:b/>
          <w:sz w:val="24"/>
          <w:szCs w:val="24"/>
          <w:lang w:val="el-GR"/>
        </w:rPr>
      </w:pPr>
      <w:r>
        <w:rPr>
          <w:b/>
          <w:sz w:val="24"/>
          <w:szCs w:val="24"/>
          <w:lang w:val="el-GR"/>
        </w:rPr>
        <w:t xml:space="preserve">2.5 </w:t>
      </w:r>
      <w:r>
        <w:rPr>
          <w:rFonts w:eastAsia="HiddenHorzOCR" w:cs="Arial"/>
          <w:sz w:val="24"/>
          <w:szCs w:val="24"/>
          <w:lang w:val="el-GR"/>
        </w:rPr>
        <w:t xml:space="preserve">Τα σχετικά έγγραφα, στην έκδοση που αναφέρονται, αποτελούν μέρος της παρούσας προδιαγραφής. Για τα έγγραφα, για τα οποία δεν αναφέρεται έτος έκδοσης, εφαρμόζεται η τελευταία έκδοση, συμπεριλαμβανομένων των τροποποιήσεων. </w:t>
      </w:r>
      <w:r>
        <w:rPr>
          <w:rFonts w:cs="Arial"/>
          <w:sz w:val="24"/>
          <w:szCs w:val="24"/>
          <w:lang w:val="el-GR"/>
        </w:rPr>
        <w:t>Σε περίπτωση αντίφασης της παρούσας προδιαγραφής με μνημονευόμενα πρότυπα, κατισχύει η προδιαγραφή, υπό την προϋπόθεση ικανοποίησης της ισχύουσας νομοθεσίας της Ελληνικής Δημοκρατίας.</w:t>
      </w:r>
    </w:p>
    <w:p>
      <w:pPr>
        <w:pStyle w:val="Normal"/>
        <w:rPr>
          <w:rFonts w:eastAsia="HiddenHorzOCR" w:cs="Arial"/>
          <w:b/>
          <w:sz w:val="24"/>
          <w:szCs w:val="24"/>
          <w:lang w:val="el-GR"/>
        </w:rPr>
      </w:pPr>
      <w:r>
        <w:rPr>
          <w:rFonts w:eastAsia="HiddenHorzOCR" w:cs="Arial"/>
          <w:b/>
          <w:sz w:val="24"/>
          <w:szCs w:val="24"/>
          <w:lang w:val="el-GR"/>
        </w:rPr>
      </w:r>
    </w:p>
    <w:p>
      <w:pPr>
        <w:pStyle w:val="Normal"/>
        <w:rPr>
          <w:rFonts w:cs="Arial"/>
          <w:b/>
          <w:sz w:val="24"/>
          <w:szCs w:val="24"/>
          <w:lang w:val="el-GR"/>
        </w:rPr>
      </w:pPr>
      <w:r>
        <w:rPr>
          <w:rFonts w:cs="Arial"/>
          <w:b/>
          <w:sz w:val="24"/>
          <w:szCs w:val="24"/>
          <w:lang w:val="el-GR"/>
        </w:rPr>
        <w:t>3 ΤΑΞΙΝΟΜΗΣΗ</w:t>
      </w:r>
    </w:p>
    <w:p>
      <w:pPr>
        <w:pStyle w:val="Normal"/>
        <w:rPr/>
      </w:pPr>
      <w:r>
        <w:rPr>
          <w:rFonts w:cs="Arial"/>
          <w:b/>
          <w:sz w:val="24"/>
          <w:szCs w:val="24"/>
          <w:lang w:val="el-GR"/>
        </w:rPr>
        <w:t>3.1</w:t>
      </w:r>
      <w:r>
        <w:rPr>
          <w:rFonts w:cs="Arial"/>
          <w:sz w:val="24"/>
          <w:szCs w:val="24"/>
          <w:lang w:val="el-GR"/>
        </w:rPr>
        <w:t xml:space="preserve"> Τα διακριτικά βαθμού των υπαξιωματικών της § 1 παρακολουθούνται στο εφοδιαστικό σύστημα του ΠΝ με τους Ναυτικούς Αριθμούς Ταξινόμησης που δίνονται στους Πίνακες Ι &amp; </w:t>
      </w:r>
      <w:r>
        <w:rPr>
          <w:rFonts w:cs="Arial"/>
          <w:sz w:val="24"/>
          <w:szCs w:val="24"/>
          <w:lang w:val="en-US"/>
        </w:rPr>
        <w:t xml:space="preserve">II </w:t>
      </w:r>
      <w:r>
        <w:rPr>
          <w:rFonts w:cs="Arial"/>
          <w:sz w:val="24"/>
          <w:szCs w:val="24"/>
          <w:lang w:val="el-GR"/>
        </w:rPr>
        <w:t>της συνημμένης Προσθήκης Ι.</w:t>
      </w:r>
    </w:p>
    <w:p>
      <w:pPr>
        <w:pStyle w:val="Normal"/>
        <w:jc w:val="both"/>
        <w:rPr/>
      </w:pPr>
      <w:r>
        <w:rPr>
          <w:rFonts w:cs="Arial"/>
          <w:b/>
          <w:bCs/>
          <w:sz w:val="24"/>
          <w:szCs w:val="24"/>
          <w:lang w:val="el-GR"/>
        </w:rPr>
        <w:t>3.2</w:t>
      </w:r>
      <w:r>
        <w:rPr>
          <w:rFonts w:cs="Arial"/>
          <w:sz w:val="24"/>
          <w:szCs w:val="24"/>
          <w:lang w:val="el-GR"/>
        </w:rPr>
        <w:t xml:space="preserve">  Τα διακριτικά βαθμού των Επαγγελματιών ΕΠ.ΟΠ της § 1 παρακολουθούνται στο εφοδιαστικό σύστημα του ΠΝ με τους Ναυτικούς Αριθμούς Ταξινόμησης που δίνονται στους Πίνακες ΙΙΙ &amp; </w:t>
      </w:r>
      <w:r>
        <w:rPr>
          <w:rFonts w:cs="Arial"/>
          <w:sz w:val="24"/>
          <w:szCs w:val="24"/>
          <w:lang w:val="en-US"/>
        </w:rPr>
        <w:t xml:space="preserve">IV </w:t>
      </w:r>
      <w:r>
        <w:rPr>
          <w:rFonts w:cs="Arial"/>
          <w:sz w:val="24"/>
          <w:szCs w:val="24"/>
          <w:lang w:val="el-GR"/>
        </w:rPr>
        <w:t>της συνημμένης Προσθήκης Ι.</w:t>
      </w:r>
    </w:p>
    <w:p>
      <w:pPr>
        <w:pStyle w:val="Normal"/>
        <w:jc w:val="both"/>
        <w:rPr/>
      </w:pPr>
      <w:r>
        <w:rPr>
          <w:rFonts w:cs="Arial"/>
          <w:b/>
          <w:bCs/>
          <w:sz w:val="24"/>
          <w:szCs w:val="24"/>
          <w:lang w:val="en-US"/>
        </w:rPr>
        <w:t>3.3</w:t>
      </w:r>
      <w:r>
        <w:rPr>
          <w:rFonts w:cs="Arial"/>
          <w:sz w:val="24"/>
          <w:szCs w:val="24"/>
          <w:lang w:val="el-GR"/>
        </w:rPr>
        <w:t xml:space="preserve"> Τα διακριτικά βαθμού των Ναυτοδιόπων (Ν/Δ) της § 1 παρακολουθούνται στο εφοδιαστικό σύστημα του ΠΝ με τους Ναυτικούς Αριθμούς Ταξινόμησης που δίνονται στους Πίνακες</w:t>
      </w:r>
      <w:r>
        <w:rPr>
          <w:rFonts w:cs="Arial"/>
          <w:sz w:val="24"/>
          <w:szCs w:val="24"/>
          <w:lang w:val="en-US"/>
        </w:rPr>
        <w:t xml:space="preserve"> V </w:t>
      </w:r>
      <w:r>
        <w:rPr>
          <w:rFonts w:cs="Arial"/>
          <w:sz w:val="24"/>
          <w:szCs w:val="24"/>
          <w:lang w:val="el-GR"/>
        </w:rPr>
        <w:t xml:space="preserve">&amp; </w:t>
      </w:r>
      <w:r>
        <w:rPr>
          <w:rFonts w:cs="Arial"/>
          <w:sz w:val="24"/>
          <w:szCs w:val="24"/>
          <w:lang w:val="en-US"/>
        </w:rPr>
        <w:t xml:space="preserve">VI </w:t>
      </w:r>
      <w:r>
        <w:rPr>
          <w:rFonts w:cs="Arial"/>
          <w:sz w:val="24"/>
          <w:szCs w:val="24"/>
          <w:lang w:val="el-GR"/>
        </w:rPr>
        <w:t>της συνημμένης Προσθήκης Ι.</w:t>
      </w:r>
    </w:p>
    <w:p>
      <w:pPr>
        <w:pStyle w:val="Normal"/>
        <w:jc w:val="both"/>
        <w:rPr/>
      </w:pPr>
      <w:r>
        <w:rPr>
          <w:b/>
          <w:sz w:val="24"/>
          <w:szCs w:val="24"/>
          <w:lang w:val="en-US"/>
        </w:rPr>
        <w:t>3.4</w:t>
      </w:r>
      <w:r>
        <w:rPr>
          <w:b/>
          <w:sz w:val="24"/>
          <w:szCs w:val="24"/>
          <w:lang w:val="el-GR"/>
        </w:rPr>
        <w:t xml:space="preserve"> </w:t>
      </w:r>
      <w:r>
        <w:rPr>
          <w:sz w:val="24"/>
          <w:szCs w:val="24"/>
          <w:lang w:val="el-GR"/>
        </w:rPr>
        <w:t>Ο κωδικός των διακριτικών της § 1, κατά CPV, σύμφωνα με το Κανονισμό § 2.1.2  είναι: 39561132-6 (υφασμάτινα διακριτικά σήματα).</w:t>
      </w:r>
    </w:p>
    <w:p>
      <w:pPr>
        <w:pStyle w:val="Normal"/>
        <w:jc w:val="both"/>
        <w:rPr>
          <w:b/>
          <w:sz w:val="24"/>
          <w:szCs w:val="24"/>
          <w:lang w:val="el-GR"/>
        </w:rPr>
      </w:pPr>
      <w:r>
        <w:rPr>
          <w:b/>
          <w:sz w:val="24"/>
          <w:szCs w:val="24"/>
          <w:lang w:val="el-GR"/>
        </w:rPr>
      </w:r>
    </w:p>
    <w:p>
      <w:pPr>
        <w:pStyle w:val="Normal"/>
        <w:rPr>
          <w:b/>
          <w:sz w:val="24"/>
          <w:szCs w:val="24"/>
          <w:lang w:val="el-GR"/>
        </w:rPr>
      </w:pPr>
      <w:r>
        <w:rPr>
          <w:b/>
          <w:sz w:val="24"/>
          <w:szCs w:val="24"/>
          <w:lang w:val="el-GR"/>
        </w:rPr>
        <w:t>4 ΤΕΧΝΙΚΑ ΧΑΡΑΚΤΗΡΙΣΤΙΚΑ</w:t>
      </w:r>
    </w:p>
    <w:p>
      <w:pPr>
        <w:pStyle w:val="Normal"/>
        <w:rPr>
          <w:b/>
          <w:sz w:val="24"/>
          <w:szCs w:val="24"/>
          <w:lang w:val="el-GR"/>
        </w:rPr>
      </w:pPr>
      <w:r>
        <w:rPr>
          <w:b/>
          <w:sz w:val="24"/>
          <w:szCs w:val="24"/>
          <w:lang w:val="el-GR"/>
        </w:rPr>
        <w:t>4.1 Ορισμός υλικού</w:t>
      </w:r>
    </w:p>
    <w:p>
      <w:pPr>
        <w:pStyle w:val="Normal"/>
        <w:rPr>
          <w:b/>
          <w:sz w:val="24"/>
          <w:szCs w:val="24"/>
          <w:lang w:val="el-GR"/>
        </w:rPr>
      </w:pPr>
      <w:r>
        <w:rPr>
          <w:b/>
          <w:sz w:val="24"/>
          <w:szCs w:val="24"/>
          <w:lang w:val="el-GR"/>
        </w:rPr>
        <w:t xml:space="preserve">4.1.1 </w:t>
      </w:r>
      <w:r>
        <w:rPr>
          <w:b w:val="false"/>
          <w:bCs w:val="false"/>
          <w:sz w:val="24"/>
          <w:szCs w:val="24"/>
          <w:lang w:val="el-GR"/>
        </w:rPr>
        <w:t xml:space="preserve">Το προσωπικό του </w:t>
      </w:r>
      <w:r>
        <w:rPr>
          <w:sz w:val="24"/>
          <w:szCs w:val="24"/>
          <w:lang w:val="el-GR"/>
        </w:rPr>
        <w:t xml:space="preserve">ΠΝ φέρει διακριτικό σήμα του βαθμού του και της ειδικότητά του στο εξωτερικό κάθετο πτερύγιο που υφίσταται στο μπουφάν της στολής ασκήσεως - εκστρατείας καθώς και στη στολή ασκήσεων – εκστρατείας στο οποίο απεικονίζεται αφενός ο βαθμός και αφετέρου η ειδικότητα τους όπως αυτές αναλύονται παρακάτω. </w:t>
      </w:r>
    </w:p>
    <w:p>
      <w:pPr>
        <w:pStyle w:val="Normal"/>
        <w:rPr/>
      </w:pPr>
      <w:r>
        <w:rPr>
          <w:b/>
          <w:sz w:val="24"/>
          <w:szCs w:val="24"/>
          <w:lang w:val="el-GR"/>
        </w:rPr>
        <w:t>4.1.2</w:t>
      </w:r>
      <w:r>
        <w:rPr>
          <w:sz w:val="24"/>
          <w:szCs w:val="24"/>
          <w:lang w:val="el-GR"/>
        </w:rPr>
        <w:t xml:space="preserve"> Τα περαστά διακριτικά βαθμού των Υπαξ/κων αποτελούνται από γαλόνι (σειρίτι) κίτρινης - χρυσής απόχρωσης τοποθετημένο (ραμμένο) πάνω σε μαύρο ύφασμα.</w:t>
      </w:r>
    </w:p>
    <w:p>
      <w:pPr>
        <w:pStyle w:val="Normal"/>
        <w:rPr>
          <w:b/>
          <w:sz w:val="24"/>
          <w:szCs w:val="24"/>
          <w:lang w:val="el-GR"/>
        </w:rPr>
      </w:pPr>
      <w:r>
        <w:rPr>
          <w:b/>
          <w:sz w:val="24"/>
          <w:szCs w:val="24"/>
          <w:lang w:val="el-GR"/>
        </w:rPr>
        <w:t xml:space="preserve">4.1.3 </w:t>
      </w:r>
      <w:r>
        <w:rPr>
          <w:b w:val="false"/>
          <w:bCs w:val="false"/>
          <w:sz w:val="24"/>
          <w:szCs w:val="24"/>
          <w:lang w:val="el-GR"/>
        </w:rPr>
        <w:t>Τα περαστά διακριτικά βαθμού των ΕΠ.ΟΠ και των Ν/Δ κατασκευάζονται από κόκκινη κλωστή με πολυβέλονη κεντητική μηχανή (που σχηματίζει/διαμορφώνει συμπαγής ταινία) και κεντιούνται πάνω σε μαύρο ύφασμα.</w:t>
      </w:r>
    </w:p>
    <w:p>
      <w:pPr>
        <w:pStyle w:val="Normal"/>
        <w:rPr>
          <w:b/>
          <w:sz w:val="24"/>
          <w:szCs w:val="24"/>
          <w:lang w:val="el-GR"/>
        </w:rPr>
      </w:pPr>
      <w:r>
        <w:rPr>
          <w:b/>
          <w:sz w:val="24"/>
          <w:szCs w:val="24"/>
          <w:lang w:val="el-GR"/>
        </w:rPr>
      </w:r>
    </w:p>
    <w:p>
      <w:pPr>
        <w:pStyle w:val="Normal"/>
        <w:rPr>
          <w:rFonts w:cs="Arial"/>
          <w:b/>
          <w:spacing w:val="-3"/>
          <w:sz w:val="24"/>
          <w:szCs w:val="24"/>
          <w:lang w:val="el-GR"/>
        </w:rPr>
      </w:pPr>
      <w:r>
        <w:rPr>
          <w:b/>
          <w:sz w:val="24"/>
          <w:szCs w:val="24"/>
          <w:lang w:val="el-GR"/>
        </w:rPr>
        <w:t xml:space="preserve">4.2 Φυσικά χαρακτηριστικά </w:t>
      </w:r>
    </w:p>
    <w:p>
      <w:pPr>
        <w:pStyle w:val="Normal"/>
        <w:rPr>
          <w:rFonts w:cs="Arial"/>
          <w:b/>
          <w:spacing w:val="-3"/>
          <w:sz w:val="24"/>
          <w:szCs w:val="24"/>
          <w:lang w:val="el-GR"/>
        </w:rPr>
      </w:pPr>
      <w:r>
        <w:rPr>
          <w:rFonts w:cs="Arial"/>
          <w:b/>
          <w:spacing w:val="-3"/>
          <w:sz w:val="24"/>
          <w:szCs w:val="24"/>
          <w:lang w:val="el-GR"/>
        </w:rPr>
        <w:t>4.2.1</w:t>
      </w:r>
      <w:r>
        <w:rPr>
          <w:rFonts w:cs="Arial"/>
          <w:spacing w:val="-3"/>
          <w:sz w:val="24"/>
          <w:szCs w:val="24"/>
          <w:lang w:val="el-GR"/>
        </w:rPr>
        <w:t xml:space="preserve"> Διαστάσεις: </w:t>
      </w:r>
    </w:p>
    <w:p>
      <w:pPr>
        <w:pStyle w:val="Normal"/>
        <w:rPr>
          <w:rFonts w:cs="Arial"/>
          <w:b/>
          <w:sz w:val="24"/>
          <w:szCs w:val="24"/>
          <w:lang w:val="el-GR"/>
        </w:rPr>
      </w:pPr>
      <w:r>
        <w:rPr>
          <w:rFonts w:cs="Arial"/>
          <w:b/>
          <w:spacing w:val="-3"/>
          <w:sz w:val="24"/>
          <w:szCs w:val="24"/>
          <w:lang w:val="el-GR"/>
        </w:rPr>
        <w:t>4.2.1.1</w:t>
      </w:r>
      <w:r>
        <w:rPr>
          <w:rFonts w:cs="Arial"/>
          <w:spacing w:val="-3"/>
          <w:sz w:val="24"/>
          <w:szCs w:val="24"/>
          <w:lang w:val="el-GR"/>
        </w:rPr>
        <w:t xml:space="preserve"> </w:t>
      </w:r>
      <w:r>
        <w:rPr>
          <w:sz w:val="24"/>
          <w:szCs w:val="24"/>
          <w:lang w:val="el-GR"/>
        </w:rPr>
        <w:t xml:space="preserve">Οι επιμέρους κατασκευαστικές διαστάσεις </w:t>
      </w:r>
      <w:r>
        <w:rPr>
          <w:rStyle w:val="Arial115pt"/>
          <w:rFonts w:cs="Arial"/>
          <w:b w:val="false"/>
          <w:sz w:val="24"/>
          <w:szCs w:val="24"/>
          <w:lang w:val="el-GR"/>
        </w:rPr>
        <w:t xml:space="preserve">των διακριτικών βαθμού Υπαξ/κων ΕΠ.ΟΠ και  Ν/Δ παρουσιάζονται </w:t>
      </w:r>
      <w:r>
        <w:rPr>
          <w:rFonts w:cs="Arial"/>
          <w:sz w:val="24"/>
          <w:szCs w:val="24"/>
          <w:lang w:val="el-GR"/>
        </w:rPr>
        <w:t xml:space="preserve">στην κατωτέρω Εικόνα Ι και στη § 4.3.1 (παρούσας ΠΕΔ).  </w:t>
      </w:r>
    </w:p>
    <w:p>
      <w:pPr>
        <w:pStyle w:val="Normal"/>
        <w:rPr>
          <w:rFonts w:cs="Arial"/>
          <w:b/>
          <w:sz w:val="24"/>
          <w:szCs w:val="24"/>
          <w:lang w:val="el-GR"/>
        </w:rPr>
      </w:pPr>
      <w:r>
        <w:rPr>
          <w:rFonts w:cs="Arial"/>
          <w:b/>
          <w:sz w:val="24"/>
          <w:szCs w:val="24"/>
          <w:lang w:val="el-GR"/>
        </w:rPr>
        <w:t>4.2.1.2</w:t>
      </w:r>
      <w:r>
        <w:rPr>
          <w:rFonts w:cs="Arial"/>
          <w:sz w:val="24"/>
          <w:szCs w:val="24"/>
          <w:lang w:val="el-GR"/>
        </w:rPr>
        <w:t xml:space="preserve"> Οι επιμέρους διαστάσεις των ειδικοτήτων και τεχνών των διακριτικών αναγράφονται στην κατωτέρω § 4.3.3 (παρούσας ΠΕΔ).</w:t>
      </w:r>
    </w:p>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p>
      <w:pPr>
        <w:pStyle w:val="Normal"/>
        <w:jc w:val="center"/>
        <w:rPr>
          <w:lang w:val="el-GR"/>
        </w:rPr>
      </w:pPr>
      <w:r>
        <w:rPr>
          <w:rFonts w:cs="Arial"/>
          <w:b/>
          <w:lang w:val="el-GR"/>
        </w:rPr>
        <w:t>ΕΙΚΟΝΑ Ι</w:t>
      </w:r>
    </w:p>
    <w:p>
      <w:pPr>
        <w:pStyle w:val="Normal"/>
        <w:jc w:val="center"/>
        <w:rPr>
          <w:lang w:val="el-GR"/>
        </w:rPr>
      </w:pPr>
      <w:r>
        <w:rPr>
          <w:lang w:val="el-GR"/>
        </w:rPr>
      </w:r>
    </w:p>
    <w:p>
      <w:pPr>
        <w:pStyle w:val="Normal"/>
        <w:jc w:val="center"/>
        <w:rPr>
          <w:lang w:val="el-GR"/>
        </w:rPr>
      </w:pPr>
      <w:r>
        <w:rPr>
          <w:lang w:val="el-GR"/>
        </w:rPr>
        <w:t>Φωτογραφία διακριτικού Υπαξιωματικού ΣΜΥΝ (Αρχικελευστής)</w:t>
      </w:r>
    </w:p>
    <w:tbl>
      <w:tblPr>
        <w:tblW w:w="5000" w:type="pct"/>
        <w:jc w:val="start"/>
        <w:tblInd w:w="55" w:type="dxa"/>
        <w:tblLayout w:type="fixed"/>
        <w:tblCellMar>
          <w:top w:w="55" w:type="dxa"/>
          <w:start w:w="55" w:type="dxa"/>
          <w:bottom w:w="55" w:type="dxa"/>
          <w:end w:w="55" w:type="dxa"/>
        </w:tblCellMar>
      </w:tblPr>
      <w:tblGrid>
        <w:gridCol w:w="3450"/>
        <w:gridCol w:w="6187"/>
      </w:tblGrid>
      <w:tr>
        <w:trPr/>
        <w:tc>
          <w:tcPr>
            <w:tcW w:w="3450" w:type="dxa"/>
            <w:tcBorders/>
          </w:tcPr>
          <w:p>
            <w:pPr>
              <w:pStyle w:val="TableContents"/>
              <w:rPr/>
            </w:pPr>
            <w:r>
              <w:rPr/>
              <w:drawing>
                <wp:anchor behindDoc="0" distT="0" distB="0" distL="0" distR="0" simplePos="0" locked="0" layoutInCell="0" allowOverlap="1" relativeHeight="23">
                  <wp:simplePos x="0" y="0"/>
                  <wp:positionH relativeFrom="column">
                    <wp:posOffset>1320165</wp:posOffset>
                  </wp:positionH>
                  <wp:positionV relativeFrom="paragraph">
                    <wp:posOffset>635</wp:posOffset>
                  </wp:positionV>
                  <wp:extent cx="715645" cy="2794000"/>
                  <wp:effectExtent l="0" t="0" r="0" b="0"/>
                  <wp:wrapSquare wrapText="largest"/>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715645" cy="2794000"/>
                          </a:xfrm>
                          <a:prstGeom prst="rect">
                            <a:avLst/>
                          </a:prstGeom>
                          <a:noFill/>
                        </pic:spPr>
                      </pic:pic>
                    </a:graphicData>
                  </a:graphic>
                </wp:anchor>
              </w:drawing>
            </w:r>
          </w:p>
        </w:tc>
        <w:tc>
          <w:tcPr>
            <w:tcW w:w="6187" w:type="dxa"/>
            <w:tcBorders/>
          </w:tcPr>
          <w:p>
            <w:pPr>
              <w:pStyle w:val="TableContents"/>
              <w:rPr/>
            </w:pPr>
            <w:r>
              <w:rPr/>
              <w:drawing>
                <wp:inline distT="0" distB="0" distL="0" distR="0">
                  <wp:extent cx="1629410" cy="2628265"/>
                  <wp:effectExtent l="0" t="0" r="0" b="0"/>
                  <wp:docPr id="2"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 descr="" title=""/>
                          <pic:cNvPicPr>
                            <a:picLocks noChangeAspect="1" noChangeArrowheads="1"/>
                          </pic:cNvPicPr>
                        </pic:nvPicPr>
                        <pic:blipFill>
                          <a:blip r:embed="rId3"/>
                          <a:stretch>
                            <a:fillRect/>
                          </a:stretch>
                        </pic:blipFill>
                        <pic:spPr bwMode="auto">
                          <a:xfrm>
                            <a:off x="0" y="0"/>
                            <a:ext cx="1629410" cy="2628265"/>
                          </a:xfrm>
                          <a:prstGeom prst="rect">
                            <a:avLst/>
                          </a:prstGeom>
                          <a:noFill/>
                        </pic:spPr>
                      </pic:pic>
                    </a:graphicData>
                  </a:graphic>
                </wp:inline>
              </w:drawing>
            </w:r>
          </w:p>
          <w:p>
            <w:pPr>
              <w:pStyle w:val="TableContents"/>
              <w:rPr/>
            </w:pPr>
            <w:r>
              <w:rPr/>
            </w:r>
          </w:p>
        </w:tc>
      </w:tr>
    </w:tbl>
    <w:p>
      <w:pPr>
        <w:pStyle w:val="Normal"/>
        <w:jc w:val="center"/>
        <w:rPr>
          <w:rFonts w:cs="Arial"/>
          <w:b/>
          <w:lang w:val="el-GR"/>
        </w:rPr>
      </w:pPr>
      <w:r>
        <w:rPr>
          <w:rFonts w:cs="Arial"/>
          <w:b/>
          <w:lang w:val="el-GR"/>
        </w:rPr>
        <w:drawing>
          <wp:anchor behindDoc="0" distT="0" distB="0" distL="0" distR="0" simplePos="0" locked="0" layoutInCell="0" allowOverlap="1" relativeHeight="22">
            <wp:simplePos x="0" y="0"/>
            <wp:positionH relativeFrom="column">
              <wp:posOffset>2143760</wp:posOffset>
            </wp:positionH>
            <wp:positionV relativeFrom="paragraph">
              <wp:posOffset>20320</wp:posOffset>
            </wp:positionV>
            <wp:extent cx="1832610" cy="516890"/>
            <wp:effectExtent l="0" t="0" r="0" b="0"/>
            <wp:wrapSquare wrapText="largest"/>
            <wp:docPr id="3"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8" descr="" title=""/>
                    <pic:cNvPicPr>
                      <a:picLocks noChangeAspect="1" noChangeArrowheads="1"/>
                    </pic:cNvPicPr>
                  </pic:nvPicPr>
                  <pic:blipFill>
                    <a:blip r:embed="rId4"/>
                    <a:stretch>
                      <a:fillRect/>
                    </a:stretch>
                  </pic:blipFill>
                  <pic:spPr bwMode="auto">
                    <a:xfrm>
                      <a:off x="0" y="0"/>
                      <a:ext cx="1832610" cy="516890"/>
                    </a:xfrm>
                    <a:prstGeom prst="rect">
                      <a:avLst/>
                    </a:prstGeom>
                    <a:noFill/>
                  </pic:spPr>
                </pic:pic>
              </a:graphicData>
            </a:graphic>
          </wp:anchor>
        </w:drawing>
      </w:r>
    </w:p>
    <w:p>
      <w:pPr>
        <w:pStyle w:val="Normal"/>
        <w:jc w:val="center"/>
        <w:rPr>
          <w:lang w:val="el-GR"/>
        </w:rPr>
      </w:pPr>
      <w:r>
        <w:rPr>
          <w:lang w:val="el-GR"/>
        </w:rPr>
      </w:r>
    </w:p>
    <w:p>
      <w:pPr>
        <w:pStyle w:val="Normal"/>
        <w:jc w:val="center"/>
        <w:rPr>
          <w:lang w:val="el-GR"/>
        </w:rPr>
      </w:pPr>
      <w:r>
        <w:rPr>
          <w:lang w:val="el-GR"/>
        </w:rPr>
      </w:r>
    </w:p>
    <w:p>
      <w:pPr>
        <w:pStyle w:val="Normal"/>
        <w:jc w:val="center"/>
        <w:rPr>
          <w:lang w:val="el-GR"/>
        </w:rPr>
      </w:pPr>
      <w:r>
        <w:rPr>
          <w:lang w:val="el-GR"/>
        </w:rPr>
      </w:r>
    </w:p>
    <w:p>
      <w:pPr>
        <w:pStyle w:val="Normal"/>
        <w:jc w:val="both"/>
        <w:rPr>
          <w:lang w:val="el-GR"/>
        </w:rPr>
      </w:pPr>
      <w:r>
        <w:rPr>
          <w:b/>
          <w:bCs/>
          <w:u w:val="single"/>
        </w:rPr>
        <w:t>Σημείωση:</w:t>
      </w:r>
      <w:r>
        <w:rPr/>
        <w:t xml:space="preserve"> Οι κατασκευαστικές διαστάσεις του διακριτικού όλων των κατηγοριών  (Υπαξ/κων ΣΜΥΝ, ΕΜΘ, ΕΠ.ΟΠ και Ν/Δ) είναι όμοιες με αυτές του διακριτικού υπαξιωματικού ΣΜΥΝ.</w:t>
      </w:r>
    </w:p>
    <w:p>
      <w:pPr>
        <w:pStyle w:val="Normal"/>
        <w:jc w:val="center"/>
        <w:rPr>
          <w:lang w:val="el-GR"/>
        </w:rPr>
      </w:pPr>
      <w:r>
        <w:rPr>
          <w:lang w:val="el-GR"/>
        </w:rPr>
      </w:r>
    </w:p>
    <w:p>
      <w:pPr>
        <w:pStyle w:val="Normal"/>
        <w:jc w:val="center"/>
        <w:rPr>
          <w:lang w:val="el-GR"/>
        </w:rPr>
      </w:pPr>
      <w:r>
        <w:rPr>
          <w:rFonts w:cs="Arial"/>
          <w:b/>
          <w:lang w:val="el-GR"/>
        </w:rPr>
        <w:t>ΕΙΚΟΝΑ ΙΙ</w:t>
      </w:r>
    </w:p>
    <w:p>
      <w:pPr>
        <w:pStyle w:val="Normal"/>
        <w:jc w:val="center"/>
        <w:rPr>
          <w:lang w:val="el-GR"/>
        </w:rPr>
      </w:pPr>
      <w:r>
        <w:rPr>
          <w:lang w:val="el-GR"/>
        </w:rPr>
        <w:t>Φωτογραφία διακριτικού Υπαξιωματικού (Μονιμ/ντων) ΕΜΘ (Αρχικελευστής)</w:t>
      </w:r>
    </w:p>
    <w:tbl>
      <w:tblPr>
        <w:tblW w:w="9741" w:type="dxa"/>
        <w:jc w:val="start"/>
        <w:tblInd w:w="0" w:type="dxa"/>
        <w:tblLayout w:type="fixed"/>
        <w:tblCellMar>
          <w:top w:w="0" w:type="dxa"/>
          <w:start w:w="108" w:type="dxa"/>
          <w:bottom w:w="0" w:type="dxa"/>
          <w:end w:w="108" w:type="dxa"/>
        </w:tblCellMar>
      </w:tblPr>
      <w:tblGrid>
        <w:gridCol w:w="9741"/>
      </w:tblGrid>
      <w:tr>
        <w:trPr>
          <w:trHeight w:val="5155" w:hRule="atLeast"/>
        </w:trPr>
        <w:tc>
          <w:tcPr>
            <w:tcW w:w="9741" w:type="dxa"/>
            <w:tcBorders/>
          </w:tcPr>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drawing>
                <wp:anchor behindDoc="0" distT="0" distB="0" distL="0" distR="0" simplePos="0" locked="0" layoutInCell="0" allowOverlap="1" relativeHeight="26">
                  <wp:simplePos x="0" y="0"/>
                  <wp:positionH relativeFrom="column">
                    <wp:posOffset>2284095</wp:posOffset>
                  </wp:positionH>
                  <wp:positionV relativeFrom="paragraph">
                    <wp:posOffset>77470</wp:posOffset>
                  </wp:positionV>
                  <wp:extent cx="1648460" cy="2884805"/>
                  <wp:effectExtent l="0" t="0" r="0" b="0"/>
                  <wp:wrapSquare wrapText="largest"/>
                  <wp:docPr id="4"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 descr="" title=""/>
                          <pic:cNvPicPr>
                            <a:picLocks noChangeAspect="1" noChangeArrowheads="1"/>
                          </pic:cNvPicPr>
                        </pic:nvPicPr>
                        <pic:blipFill>
                          <a:blip r:embed="rId5"/>
                          <a:stretch>
                            <a:fillRect/>
                          </a:stretch>
                        </pic:blipFill>
                        <pic:spPr bwMode="auto">
                          <a:xfrm>
                            <a:off x="0" y="0"/>
                            <a:ext cx="1648460" cy="2884805"/>
                          </a:xfrm>
                          <a:prstGeom prst="rect">
                            <a:avLst/>
                          </a:prstGeom>
                          <a:noFill/>
                        </pic:spPr>
                      </pic:pic>
                    </a:graphicData>
                  </a:graphic>
                </wp:anchor>
              </w:drawing>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tc>
      </w:tr>
    </w:tbl>
    <w:p>
      <w:pPr>
        <w:pStyle w:val="Normal"/>
        <w:jc w:val="both"/>
        <w:rPr>
          <w:lang w:val="el-GR"/>
        </w:rPr>
      </w:pPr>
      <w:r>
        <w:rPr>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t>ΕΙΚΟΝΑ ΙΙΙ</w:t>
      </w:r>
    </w:p>
    <w:p>
      <w:pPr>
        <w:pStyle w:val="Normal"/>
        <w:jc w:val="center"/>
        <w:rPr>
          <w:b/>
          <w:bCs/>
        </w:rPr>
      </w:pPr>
      <w:r>
        <w:rPr>
          <w:b/>
          <w:bCs/>
        </w:rPr>
        <w:t>Φωτογραφία διακριτικού Δίοπου ΕΠ.ΟΠ</w:t>
      </w:r>
    </w:p>
    <w:p>
      <w:pPr>
        <w:pStyle w:val="Normal"/>
        <w:jc w:val="center"/>
        <w:rPr>
          <w:b/>
          <w:bCs/>
        </w:rPr>
      </w:pPr>
      <w:r>
        <w:rPr>
          <w:b/>
          <w:bCs/>
        </w:rPr>
      </w:r>
    </w:p>
    <w:p>
      <w:pPr>
        <w:pStyle w:val="Normal"/>
        <w:jc w:val="center"/>
        <w:rPr>
          <w:rFonts w:cs="Arial"/>
          <w:b/>
          <w:lang w:val="el-GR"/>
        </w:rPr>
      </w:pPr>
      <w:r>
        <w:rPr/>
        <w:drawing>
          <wp:inline distT="0" distB="0" distL="0" distR="0">
            <wp:extent cx="2127885" cy="3128010"/>
            <wp:effectExtent l="0" t="0" r="0" b="0"/>
            <wp:docPr id="5"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9" descr="" title=""/>
                    <pic:cNvPicPr>
                      <a:picLocks noChangeAspect="1" noChangeArrowheads="1"/>
                    </pic:cNvPicPr>
                  </pic:nvPicPr>
                  <pic:blipFill>
                    <a:blip r:embed="rId6"/>
                    <a:stretch>
                      <a:fillRect/>
                    </a:stretch>
                  </pic:blipFill>
                  <pic:spPr bwMode="auto">
                    <a:xfrm>
                      <a:off x="0" y="0"/>
                      <a:ext cx="2127885" cy="3128010"/>
                    </a:xfrm>
                    <a:prstGeom prst="rect">
                      <a:avLst/>
                    </a:prstGeom>
                    <a:noFill/>
                  </pic:spPr>
                </pic:pic>
              </a:graphicData>
            </a:graphic>
          </wp:inline>
        </w:drawing>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t>ΕΙΚΟΝΑ Ι</w:t>
      </w:r>
      <w:r>
        <w:rPr>
          <w:rFonts w:cs="Arial"/>
          <w:b/>
          <w:lang w:val="en-US"/>
        </w:rPr>
        <w:t>V</w:t>
      </w:r>
    </w:p>
    <w:p>
      <w:pPr>
        <w:pStyle w:val="Normal"/>
        <w:jc w:val="center"/>
        <w:rPr>
          <w:b/>
          <w:bCs/>
        </w:rPr>
      </w:pPr>
      <w:r>
        <w:rPr>
          <w:b/>
          <w:bCs/>
          <w:lang w:val="en-US"/>
        </w:rPr>
        <w:t xml:space="preserve">Φωτογραφία διακριτικού </w:t>
      </w:r>
      <w:r>
        <w:rPr>
          <w:b/>
          <w:bCs/>
          <w:lang w:val="el-GR"/>
        </w:rPr>
        <w:t xml:space="preserve">Ναύτη </w:t>
      </w:r>
      <w:r>
        <w:rPr>
          <w:b/>
          <w:bCs/>
          <w:lang w:val="en-US"/>
        </w:rPr>
        <w:t>ΕΠ.ΟΠ</w:t>
      </w:r>
    </w:p>
    <w:p>
      <w:pPr>
        <w:pStyle w:val="Normal"/>
        <w:jc w:val="center"/>
        <w:rPr>
          <w:lang w:val="en-US"/>
        </w:rPr>
      </w:pPr>
      <w:r>
        <w:rPr>
          <w:lang w:val="en-US"/>
        </w:rPr>
      </w:r>
    </w:p>
    <w:p>
      <w:pPr>
        <w:pStyle w:val="Normal"/>
        <w:jc w:val="center"/>
        <w:rPr>
          <w:rFonts w:cs="Arial"/>
          <w:b/>
          <w:lang w:val="el-GR"/>
        </w:rPr>
      </w:pPr>
      <w:r>
        <w:rPr/>
        <w:drawing>
          <wp:inline distT="0" distB="0" distL="0" distR="0">
            <wp:extent cx="2125345" cy="3170555"/>
            <wp:effectExtent l="0" t="0" r="0" b="0"/>
            <wp:docPr id="6"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 descr="" title=""/>
                    <pic:cNvPicPr>
                      <a:picLocks noChangeAspect="1" noChangeArrowheads="1"/>
                    </pic:cNvPicPr>
                  </pic:nvPicPr>
                  <pic:blipFill>
                    <a:blip r:embed="rId7"/>
                    <a:stretch>
                      <a:fillRect/>
                    </a:stretch>
                  </pic:blipFill>
                  <pic:spPr bwMode="auto">
                    <a:xfrm>
                      <a:off x="0" y="0"/>
                      <a:ext cx="2125345" cy="3170555"/>
                    </a:xfrm>
                    <a:prstGeom prst="rect">
                      <a:avLst/>
                    </a:prstGeom>
                    <a:noFill/>
                  </pic:spPr>
                </pic:pic>
              </a:graphicData>
            </a:graphic>
          </wp:inline>
        </w:drawing>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t xml:space="preserve">ΕΙΚΟΝΑ </w:t>
      </w:r>
      <w:r>
        <w:rPr>
          <w:rFonts w:cs="Arial"/>
          <w:b/>
          <w:lang w:val="en-US"/>
        </w:rPr>
        <w:t>V</w:t>
      </w:r>
    </w:p>
    <w:p>
      <w:pPr>
        <w:pStyle w:val="Normal"/>
        <w:jc w:val="center"/>
        <w:rPr>
          <w:b/>
          <w:bCs/>
        </w:rPr>
      </w:pPr>
      <w:r>
        <w:rPr>
          <w:b/>
          <w:bCs/>
          <w:lang w:val="en-US"/>
        </w:rPr>
        <w:t xml:space="preserve">Φωτογραφία διακριτικού Δίοπου </w:t>
      </w:r>
    </w:p>
    <w:p>
      <w:pPr>
        <w:pStyle w:val="Normal"/>
        <w:jc w:val="center"/>
        <w:rPr>
          <w:lang w:val="en-US"/>
        </w:rPr>
      </w:pPr>
      <w:r>
        <w:rPr>
          <w:lang w:val="en-US"/>
        </w:rPr>
      </w:r>
    </w:p>
    <w:p>
      <w:pPr>
        <w:pStyle w:val="Normal"/>
        <w:jc w:val="center"/>
        <w:rPr>
          <w:rFonts w:cs="Arial"/>
          <w:b/>
          <w:lang w:val="el-GR"/>
        </w:rPr>
      </w:pPr>
      <w:r>
        <w:rPr/>
        <w:drawing>
          <wp:inline distT="0" distB="0" distL="0" distR="0">
            <wp:extent cx="1905635" cy="2762885"/>
            <wp:effectExtent l="0" t="0" r="0" b="0"/>
            <wp:docPr id="7"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1" descr="" title=""/>
                    <pic:cNvPicPr>
                      <a:picLocks noChangeAspect="1" noChangeArrowheads="1"/>
                    </pic:cNvPicPr>
                  </pic:nvPicPr>
                  <pic:blipFill>
                    <a:blip r:embed="rId8"/>
                    <a:stretch>
                      <a:fillRect/>
                    </a:stretch>
                  </pic:blipFill>
                  <pic:spPr bwMode="auto">
                    <a:xfrm>
                      <a:off x="0" y="0"/>
                      <a:ext cx="1905635" cy="2762885"/>
                    </a:xfrm>
                    <a:prstGeom prst="rect">
                      <a:avLst/>
                    </a:prstGeom>
                    <a:noFill/>
                  </pic:spPr>
                </pic:pic>
              </a:graphicData>
            </a:graphic>
          </wp:inline>
        </w:drawing>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t>ΕΙΚΟΝΑ VI</w:t>
      </w:r>
    </w:p>
    <w:p>
      <w:pPr>
        <w:pStyle w:val="Normal"/>
        <w:jc w:val="center"/>
        <w:rPr>
          <w:b/>
          <w:bCs/>
        </w:rPr>
      </w:pPr>
      <w:r>
        <w:rPr>
          <w:b/>
          <w:bCs/>
        </w:rPr>
        <w:t>Φωτογραφία διακριτικού Ναύτη</w:t>
      </w:r>
    </w:p>
    <w:p>
      <w:pPr>
        <w:pStyle w:val="Normal"/>
        <w:jc w:val="center"/>
        <w:rPr>
          <w:rFonts w:cs="Arial"/>
          <w:b/>
          <w:lang w:val="el-GR"/>
        </w:rPr>
      </w:pPr>
      <w:r>
        <w:rPr>
          <w:rFonts w:cs="Arial"/>
          <w:b/>
          <w:lang w:val="el-GR"/>
        </w:rPr>
        <w:drawing>
          <wp:anchor behindDoc="0" distT="0" distB="0" distL="0" distR="0" simplePos="0" locked="0" layoutInCell="0" allowOverlap="1" relativeHeight="25">
            <wp:simplePos x="0" y="0"/>
            <wp:positionH relativeFrom="column">
              <wp:align>center</wp:align>
            </wp:positionH>
            <wp:positionV relativeFrom="paragraph">
              <wp:posOffset>635</wp:posOffset>
            </wp:positionV>
            <wp:extent cx="1856105" cy="2754630"/>
            <wp:effectExtent l="0" t="0" r="0" b="0"/>
            <wp:wrapSquare wrapText="largest"/>
            <wp:docPr id="8"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 descr="" title=""/>
                    <pic:cNvPicPr>
                      <a:picLocks noChangeAspect="1" noChangeArrowheads="1"/>
                    </pic:cNvPicPr>
                  </pic:nvPicPr>
                  <pic:blipFill>
                    <a:blip r:embed="rId9"/>
                    <a:stretch>
                      <a:fillRect/>
                    </a:stretch>
                  </pic:blipFill>
                  <pic:spPr bwMode="auto">
                    <a:xfrm>
                      <a:off x="0" y="0"/>
                      <a:ext cx="1856105" cy="2754630"/>
                    </a:xfrm>
                    <a:prstGeom prst="rect">
                      <a:avLst/>
                    </a:prstGeom>
                    <a:noFill/>
                  </pic:spPr>
                </pic:pic>
              </a:graphicData>
            </a:graphic>
          </wp:anchor>
        </w:drawing>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r>
    </w:p>
    <w:p>
      <w:pPr>
        <w:pStyle w:val="Normal"/>
        <w:jc w:val="center"/>
        <w:rPr>
          <w:rFonts w:cs="Arial"/>
          <w:b/>
          <w:lang w:val="el-GR"/>
        </w:rPr>
      </w:pPr>
      <w:r>
        <w:rPr>
          <w:rFonts w:cs="Arial"/>
          <w:b/>
          <w:lang w:val="el-GR"/>
        </w:rPr>
        <w:t>ΕΙΚΟΝΑ</w:t>
      </w:r>
      <w:r>
        <w:rPr>
          <w:rFonts w:cs="Arial"/>
          <w:b/>
          <w:lang w:val="en-US"/>
        </w:rPr>
        <w:t xml:space="preserve"> VI</w:t>
      </w:r>
      <w:r>
        <w:rPr>
          <w:rFonts w:cs="Arial"/>
          <w:b/>
          <w:lang w:val="el-GR"/>
        </w:rPr>
        <w:t>Ι</w:t>
      </w:r>
    </w:p>
    <w:p>
      <w:pPr>
        <w:pStyle w:val="Normal"/>
        <w:jc w:val="center"/>
        <w:rPr>
          <w:rFonts w:cs="Arial"/>
          <w:b/>
          <w:lang w:val="el-GR"/>
        </w:rPr>
      </w:pPr>
      <w:r>
        <w:rPr>
          <w:rFonts w:cs="Arial"/>
          <w:b/>
          <w:lang w:val="el-GR"/>
        </w:rPr>
        <w:t>Σχέδια Ειδικοτήτων (&amp; Τεχνών) Διακριτικών Προσωπικού</w:t>
      </w:r>
    </w:p>
    <w:tbl>
      <w:tblPr>
        <w:tblW w:w="5000" w:type="pct"/>
        <w:jc w:val="center"/>
        <w:tblInd w:w="0" w:type="dxa"/>
        <w:tblLayout w:type="fixed"/>
        <w:tblCellMar>
          <w:top w:w="0" w:type="dxa"/>
          <w:start w:w="108" w:type="dxa"/>
          <w:bottom w:w="0" w:type="dxa"/>
          <w:end w:w="108" w:type="dxa"/>
        </w:tblCellMar>
      </w:tblPr>
      <w:tblGrid>
        <w:gridCol w:w="2406"/>
        <w:gridCol w:w="2517"/>
        <w:gridCol w:w="2441"/>
        <w:gridCol w:w="2273"/>
      </w:tblGrid>
      <w:tr>
        <w:trPr/>
        <w:tc>
          <w:tcPr>
            <w:tcW w:w="2406" w:type="dxa"/>
            <w:tcBorders/>
          </w:tcPr>
          <w:p>
            <w:pPr>
              <w:pStyle w:val="Normal"/>
              <w:jc w:val="center"/>
              <w:rPr>
                <w:rFonts w:cs="Arial"/>
                <w:lang w:val="el-GR"/>
              </w:rPr>
            </w:pPr>
            <w:r>
              <w:rPr/>
              <w:drawing>
                <wp:inline distT="0" distB="0" distL="0" distR="0">
                  <wp:extent cx="1369695" cy="1353185"/>
                  <wp:effectExtent l="0" t="0" r="0" b="0"/>
                  <wp:docPr id="9"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descr="" title=""/>
                          <pic:cNvPicPr>
                            <a:picLocks noChangeAspect="1" noChangeArrowheads="1"/>
                          </pic:cNvPicPr>
                        </pic:nvPicPr>
                        <pic:blipFill>
                          <a:blip r:embed="rId10"/>
                          <a:srcRect l="-123" t="-171" r="-123" b="-171"/>
                          <a:stretch>
                            <a:fillRect/>
                          </a:stretch>
                        </pic:blipFill>
                        <pic:spPr bwMode="auto">
                          <a:xfrm>
                            <a:off x="0" y="0"/>
                            <a:ext cx="1369695" cy="1353185"/>
                          </a:xfrm>
                          <a:prstGeom prst="rect">
                            <a:avLst/>
                          </a:prstGeom>
                          <a:noFill/>
                        </pic:spPr>
                      </pic:pic>
                    </a:graphicData>
                  </a:graphic>
                </wp:inline>
              </w:drawing>
            </w:r>
          </w:p>
        </w:tc>
        <w:tc>
          <w:tcPr>
            <w:tcW w:w="2517" w:type="dxa"/>
            <w:tcBorders/>
          </w:tcPr>
          <w:p>
            <w:pPr>
              <w:pStyle w:val="Normal"/>
              <w:jc w:val="center"/>
              <w:rPr>
                <w:rFonts w:cs="Arial"/>
                <w:lang w:val="el-GR"/>
              </w:rPr>
            </w:pPr>
            <w:r>
              <w:rPr/>
              <w:drawing>
                <wp:inline distT="0" distB="0" distL="0" distR="0">
                  <wp:extent cx="1372870" cy="1240790"/>
                  <wp:effectExtent l="0" t="0" r="0" b="0"/>
                  <wp:docPr id="10"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descr="" title=""/>
                          <pic:cNvPicPr>
                            <a:picLocks noChangeAspect="1" noChangeArrowheads="1"/>
                          </pic:cNvPicPr>
                        </pic:nvPicPr>
                        <pic:blipFill>
                          <a:blip r:embed="rId11"/>
                          <a:srcRect l="-103" t="-300" r="-103" b="-300"/>
                          <a:stretch>
                            <a:fillRect/>
                          </a:stretch>
                        </pic:blipFill>
                        <pic:spPr bwMode="auto">
                          <a:xfrm>
                            <a:off x="0" y="0"/>
                            <a:ext cx="1372870" cy="1240790"/>
                          </a:xfrm>
                          <a:prstGeom prst="rect">
                            <a:avLst/>
                          </a:prstGeom>
                          <a:noFill/>
                        </pic:spPr>
                      </pic:pic>
                    </a:graphicData>
                  </a:graphic>
                </wp:inline>
              </w:drawing>
            </w:r>
          </w:p>
        </w:tc>
        <w:tc>
          <w:tcPr>
            <w:tcW w:w="2441" w:type="dxa"/>
            <w:tcBorders/>
          </w:tcPr>
          <w:p>
            <w:pPr>
              <w:pStyle w:val="Normal"/>
              <w:jc w:val="center"/>
              <w:rPr>
                <w:rFonts w:cs="Arial"/>
                <w:lang w:val="el-GR"/>
              </w:rPr>
            </w:pPr>
            <w:r>
              <w:rPr/>
              <w:drawing>
                <wp:inline distT="0" distB="0" distL="0" distR="0">
                  <wp:extent cx="1381125" cy="1235075"/>
                  <wp:effectExtent l="0" t="0" r="0" b="0"/>
                  <wp:docPr id="11"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descr="" title=""/>
                          <pic:cNvPicPr>
                            <a:picLocks noChangeAspect="1" noChangeArrowheads="1"/>
                          </pic:cNvPicPr>
                        </pic:nvPicPr>
                        <pic:blipFill>
                          <a:blip r:embed="rId12"/>
                          <a:srcRect l="-103" t="-182" r="-103" b="-182"/>
                          <a:stretch>
                            <a:fillRect/>
                          </a:stretch>
                        </pic:blipFill>
                        <pic:spPr bwMode="auto">
                          <a:xfrm>
                            <a:off x="0" y="0"/>
                            <a:ext cx="1381125" cy="1235075"/>
                          </a:xfrm>
                          <a:prstGeom prst="rect">
                            <a:avLst/>
                          </a:prstGeom>
                          <a:noFill/>
                        </pic:spPr>
                      </pic:pic>
                    </a:graphicData>
                  </a:graphic>
                </wp:inline>
              </w:drawing>
            </w:r>
          </w:p>
        </w:tc>
        <w:tc>
          <w:tcPr>
            <w:tcW w:w="2273" w:type="dxa"/>
            <w:tcBorders/>
          </w:tcPr>
          <w:p>
            <w:pPr>
              <w:pStyle w:val="Normal"/>
              <w:jc w:val="center"/>
              <w:rPr>
                <w:rFonts w:cs="Arial"/>
                <w:lang w:val="el-GR"/>
              </w:rPr>
            </w:pPr>
            <w:r>
              <w:rPr>
                <w:rFonts w:cs="Arial"/>
                <w:lang w:val="el-GR"/>
              </w:rPr>
              <w:drawing>
                <wp:anchor behindDoc="0" distT="0" distB="0" distL="0" distR="0" simplePos="0" locked="0" layoutInCell="0" allowOverlap="1" relativeHeight="21">
                  <wp:simplePos x="0" y="0"/>
                  <wp:positionH relativeFrom="column">
                    <wp:align>center</wp:align>
                  </wp:positionH>
                  <wp:positionV relativeFrom="paragraph">
                    <wp:posOffset>635</wp:posOffset>
                  </wp:positionV>
                  <wp:extent cx="1583055" cy="1270000"/>
                  <wp:effectExtent l="0" t="0" r="0" b="0"/>
                  <wp:wrapSquare wrapText="largest"/>
                  <wp:docPr id="12"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 descr="" title=""/>
                          <pic:cNvPicPr>
                            <a:picLocks noChangeAspect="1" noChangeArrowheads="1"/>
                          </pic:cNvPicPr>
                        </pic:nvPicPr>
                        <pic:blipFill>
                          <a:blip r:embed="rId13"/>
                          <a:srcRect l="-103" t="-255" r="-103" b="-255"/>
                          <a:stretch>
                            <a:fillRect/>
                          </a:stretch>
                        </pic:blipFill>
                        <pic:spPr bwMode="auto">
                          <a:xfrm>
                            <a:off x="0" y="0"/>
                            <a:ext cx="1583055" cy="1270000"/>
                          </a:xfrm>
                          <a:prstGeom prst="rect">
                            <a:avLst/>
                          </a:prstGeom>
                          <a:noFill/>
                        </pic:spPr>
                      </pic:pic>
                    </a:graphicData>
                  </a:graphic>
                </wp:anchor>
              </w:drawing>
            </w:r>
          </w:p>
        </w:tc>
      </w:tr>
      <w:tr>
        <w:trPr/>
        <w:tc>
          <w:tcPr>
            <w:tcW w:w="2406" w:type="dxa"/>
            <w:tcBorders/>
          </w:tcPr>
          <w:p>
            <w:pPr>
              <w:pStyle w:val="Normal"/>
              <w:jc w:val="center"/>
              <w:rPr>
                <w:rFonts w:cs="Arial"/>
                <w:sz w:val="22"/>
                <w:szCs w:val="22"/>
                <w:lang w:val="el-GR"/>
              </w:rPr>
            </w:pPr>
            <w:r>
              <w:rPr>
                <w:rFonts w:cs="Arial"/>
                <w:sz w:val="22"/>
                <w:szCs w:val="22"/>
                <w:lang w:val="el-GR"/>
              </w:rPr>
              <w:t>Αρμενιστής (ΑΡΜ)</w:t>
            </w:r>
          </w:p>
        </w:tc>
        <w:tc>
          <w:tcPr>
            <w:tcW w:w="2517" w:type="dxa"/>
            <w:tcBorders/>
          </w:tcPr>
          <w:p>
            <w:pPr>
              <w:pStyle w:val="Normal"/>
              <w:jc w:val="center"/>
              <w:rPr>
                <w:rFonts w:cs="Arial"/>
                <w:sz w:val="22"/>
                <w:szCs w:val="22"/>
                <w:lang w:val="el-GR"/>
              </w:rPr>
            </w:pPr>
            <w:r>
              <w:rPr>
                <w:rFonts w:cs="Arial"/>
                <w:sz w:val="22"/>
                <w:szCs w:val="22"/>
                <w:lang w:val="el-GR"/>
              </w:rPr>
              <w:t>Διαχειριστής  (ΔΙΑΧ)</w:t>
            </w:r>
          </w:p>
          <w:p>
            <w:pPr>
              <w:pStyle w:val="Normal"/>
              <w:jc w:val="center"/>
              <w:rPr>
                <w:rFonts w:cs="Arial"/>
                <w:sz w:val="22"/>
                <w:szCs w:val="22"/>
                <w:lang w:val="el-GR"/>
              </w:rPr>
            </w:pPr>
            <w:r>
              <w:rPr>
                <w:rFonts w:cs="Arial"/>
                <w:sz w:val="22"/>
                <w:szCs w:val="22"/>
                <w:lang w:val="el-GR"/>
              </w:rPr>
              <w:t>&amp; λοιπών ειδικοτήτων</w:t>
            </w:r>
          </w:p>
        </w:tc>
        <w:tc>
          <w:tcPr>
            <w:tcW w:w="2441" w:type="dxa"/>
            <w:tcBorders/>
          </w:tcPr>
          <w:p>
            <w:pPr>
              <w:pStyle w:val="Normal"/>
              <w:jc w:val="center"/>
              <w:rPr>
                <w:rFonts w:cs="Arial"/>
                <w:sz w:val="22"/>
                <w:szCs w:val="22"/>
                <w:lang w:val="el-GR"/>
              </w:rPr>
            </w:pPr>
            <w:r>
              <w:rPr>
                <w:rFonts w:cs="Arial"/>
                <w:sz w:val="22"/>
                <w:szCs w:val="22"/>
                <w:lang w:val="el-GR"/>
              </w:rPr>
              <w:t>Διοικητικής Υποστήριξης (Δ/ΥΠ)</w:t>
            </w:r>
          </w:p>
          <w:p>
            <w:pPr>
              <w:pStyle w:val="Normal"/>
              <w:jc w:val="center"/>
              <w:rPr>
                <w:rFonts w:cs="Arial"/>
                <w:sz w:val="22"/>
                <w:szCs w:val="22"/>
                <w:lang w:val="el-GR"/>
              </w:rPr>
            </w:pPr>
            <w:r>
              <w:rPr>
                <w:rFonts w:cs="Arial"/>
                <w:sz w:val="22"/>
                <w:szCs w:val="22"/>
                <w:lang w:val="el-GR"/>
              </w:rPr>
              <w:t>&amp; λοιπών ειδικοτήτων</w:t>
            </w:r>
          </w:p>
        </w:tc>
        <w:tc>
          <w:tcPr>
            <w:tcW w:w="2273" w:type="dxa"/>
            <w:tcBorders/>
          </w:tcPr>
          <w:p>
            <w:pPr>
              <w:pStyle w:val="Normal"/>
              <w:jc w:val="center"/>
              <w:rPr>
                <w:sz w:val="21"/>
                <w:szCs w:val="21"/>
              </w:rPr>
            </w:pPr>
            <w:r>
              <w:rPr>
                <w:rFonts w:cs="Arial"/>
                <w:sz w:val="21"/>
                <w:szCs w:val="21"/>
                <w:lang w:val="el-GR"/>
              </w:rPr>
              <w:t>Επιχειρήσεων /  Επικοινωνιών (Ε/Ε)</w:t>
            </w:r>
          </w:p>
          <w:p>
            <w:pPr>
              <w:pStyle w:val="Normal"/>
              <w:jc w:val="center"/>
              <w:rPr>
                <w:sz w:val="21"/>
                <w:szCs w:val="21"/>
              </w:rPr>
            </w:pPr>
            <w:r>
              <w:rPr>
                <w:rFonts w:cs="Arial"/>
                <w:sz w:val="21"/>
                <w:szCs w:val="21"/>
                <w:lang w:val="el-GR"/>
              </w:rPr>
              <w:t>&amp; λοιπών ειδικοτήτων</w:t>
            </w:r>
          </w:p>
        </w:tc>
      </w:tr>
      <w:tr>
        <w:trPr>
          <w:trHeight w:val="2220" w:hRule="atLeast"/>
        </w:trPr>
        <w:tc>
          <w:tcPr>
            <w:tcW w:w="2406" w:type="dxa"/>
            <w:tcBorders/>
          </w:tcPr>
          <w:p>
            <w:pPr>
              <w:pStyle w:val="Normal"/>
              <w:jc w:val="center"/>
              <w:rPr>
                <w:rFonts w:cs="Arial"/>
                <w:lang w:val="el-GR"/>
              </w:rPr>
            </w:pPr>
            <w:r>
              <w:rPr/>
              <w:drawing>
                <wp:inline distT="0" distB="0" distL="0" distR="0">
                  <wp:extent cx="1364615" cy="1374140"/>
                  <wp:effectExtent l="0" t="0" r="0" b="0"/>
                  <wp:docPr id="13"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 descr="" title=""/>
                          <pic:cNvPicPr>
                            <a:picLocks noChangeAspect="1" noChangeArrowheads="1"/>
                          </pic:cNvPicPr>
                        </pic:nvPicPr>
                        <pic:blipFill>
                          <a:blip r:embed="rId14"/>
                          <a:srcRect l="-106" t="-182" r="-106" b="-182"/>
                          <a:stretch>
                            <a:fillRect/>
                          </a:stretch>
                        </pic:blipFill>
                        <pic:spPr bwMode="auto">
                          <a:xfrm>
                            <a:off x="0" y="0"/>
                            <a:ext cx="1364615" cy="1374140"/>
                          </a:xfrm>
                          <a:prstGeom prst="rect">
                            <a:avLst/>
                          </a:prstGeom>
                          <a:noFill/>
                        </pic:spPr>
                      </pic:pic>
                    </a:graphicData>
                  </a:graphic>
                </wp:inline>
              </w:drawing>
            </w:r>
          </w:p>
        </w:tc>
        <w:tc>
          <w:tcPr>
            <w:tcW w:w="2517" w:type="dxa"/>
            <w:tcBorders/>
          </w:tcPr>
          <w:p>
            <w:pPr>
              <w:pStyle w:val="Normal"/>
              <w:jc w:val="center"/>
              <w:rPr>
                <w:rFonts w:cs="Arial"/>
                <w:lang w:val="el-GR"/>
              </w:rPr>
            </w:pPr>
            <w:r>
              <w:rPr/>
              <w:drawing>
                <wp:inline distT="0" distB="0" distL="0" distR="0">
                  <wp:extent cx="1460500" cy="1502410"/>
                  <wp:effectExtent l="0" t="0" r="0" b="0"/>
                  <wp:docPr id="14"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 descr="" title=""/>
                          <pic:cNvPicPr>
                            <a:picLocks noChangeAspect="1" noChangeArrowheads="1"/>
                          </pic:cNvPicPr>
                        </pic:nvPicPr>
                        <pic:blipFill>
                          <a:blip r:embed="rId15"/>
                          <a:srcRect l="-109" t="-159" r="-109" b="-159"/>
                          <a:stretch>
                            <a:fillRect/>
                          </a:stretch>
                        </pic:blipFill>
                        <pic:spPr bwMode="auto">
                          <a:xfrm>
                            <a:off x="0" y="0"/>
                            <a:ext cx="1460500" cy="1502410"/>
                          </a:xfrm>
                          <a:prstGeom prst="rect">
                            <a:avLst/>
                          </a:prstGeom>
                          <a:noFill/>
                        </pic:spPr>
                      </pic:pic>
                    </a:graphicData>
                  </a:graphic>
                </wp:inline>
              </w:drawing>
            </w:r>
          </w:p>
        </w:tc>
        <w:tc>
          <w:tcPr>
            <w:tcW w:w="2441" w:type="dxa"/>
            <w:tcBorders/>
          </w:tcPr>
          <w:p>
            <w:pPr>
              <w:pStyle w:val="Normal"/>
              <w:jc w:val="center"/>
              <w:rPr>
                <w:rFonts w:cs="Arial"/>
                <w:lang w:val="el-GR"/>
              </w:rPr>
            </w:pPr>
            <w:r>
              <w:rPr/>
              <w:drawing>
                <wp:inline distT="0" distB="0" distL="0" distR="0">
                  <wp:extent cx="1555750" cy="1522730"/>
                  <wp:effectExtent l="0" t="0" r="0" b="0"/>
                  <wp:docPr id="15"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 descr="" title=""/>
                          <pic:cNvPicPr>
                            <a:picLocks noChangeAspect="1" noChangeArrowheads="1"/>
                          </pic:cNvPicPr>
                        </pic:nvPicPr>
                        <pic:blipFill>
                          <a:blip r:embed="rId16"/>
                          <a:srcRect l="-106" t="-180" r="-106" b="-180"/>
                          <a:stretch>
                            <a:fillRect/>
                          </a:stretch>
                        </pic:blipFill>
                        <pic:spPr bwMode="auto">
                          <a:xfrm>
                            <a:off x="0" y="0"/>
                            <a:ext cx="1555750" cy="1522730"/>
                          </a:xfrm>
                          <a:prstGeom prst="rect">
                            <a:avLst/>
                          </a:prstGeom>
                          <a:noFill/>
                        </pic:spPr>
                      </pic:pic>
                    </a:graphicData>
                  </a:graphic>
                </wp:inline>
              </w:drawing>
            </w:r>
          </w:p>
        </w:tc>
        <w:tc>
          <w:tcPr>
            <w:tcW w:w="2273" w:type="dxa"/>
            <w:tcBorders/>
          </w:tcPr>
          <w:p>
            <w:pPr>
              <w:pStyle w:val="Normal"/>
              <w:jc w:val="center"/>
              <w:rPr>
                <w:rFonts w:cs="Arial"/>
                <w:lang w:val="el-GR"/>
              </w:rPr>
            </w:pPr>
            <w:r>
              <w:rPr/>
              <w:drawing>
                <wp:inline distT="0" distB="0" distL="0" distR="0">
                  <wp:extent cx="1598295" cy="1341755"/>
                  <wp:effectExtent l="0" t="0" r="0" b="0"/>
                  <wp:docPr id="16"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 descr="" title=""/>
                          <pic:cNvPicPr>
                            <a:picLocks noChangeAspect="1" noChangeArrowheads="1"/>
                          </pic:cNvPicPr>
                        </pic:nvPicPr>
                        <pic:blipFill>
                          <a:blip r:embed="rId17"/>
                          <a:srcRect l="-120" t="-185" r="-120" b="-185"/>
                          <a:stretch>
                            <a:fillRect/>
                          </a:stretch>
                        </pic:blipFill>
                        <pic:spPr bwMode="auto">
                          <a:xfrm>
                            <a:off x="0" y="0"/>
                            <a:ext cx="1598295" cy="1341755"/>
                          </a:xfrm>
                          <a:prstGeom prst="rect">
                            <a:avLst/>
                          </a:prstGeom>
                          <a:noFill/>
                        </pic:spPr>
                      </pic:pic>
                    </a:graphicData>
                  </a:graphic>
                </wp:inline>
              </w:drawing>
            </w:r>
          </w:p>
        </w:tc>
      </w:tr>
      <w:tr>
        <w:trPr/>
        <w:tc>
          <w:tcPr>
            <w:tcW w:w="2406" w:type="dxa"/>
            <w:tcBorders/>
          </w:tcPr>
          <w:p>
            <w:pPr>
              <w:pStyle w:val="Normal"/>
              <w:jc w:val="center"/>
              <w:rPr>
                <w:rFonts w:cs="Arial"/>
                <w:sz w:val="22"/>
                <w:szCs w:val="22"/>
                <w:lang w:val="el-GR"/>
              </w:rPr>
            </w:pPr>
            <w:r>
              <w:rPr>
                <w:rFonts w:cs="Arial"/>
                <w:sz w:val="22"/>
                <w:szCs w:val="22"/>
                <w:lang w:val="el-GR"/>
              </w:rPr>
              <w:t>Εσχαρέας (ΕΣΧ) (Μάγειρας)</w:t>
            </w:r>
          </w:p>
        </w:tc>
        <w:tc>
          <w:tcPr>
            <w:tcW w:w="2517" w:type="dxa"/>
            <w:tcBorders/>
          </w:tcPr>
          <w:p>
            <w:pPr>
              <w:pStyle w:val="Normal"/>
              <w:jc w:val="center"/>
              <w:rPr>
                <w:rFonts w:cs="Arial"/>
                <w:sz w:val="22"/>
                <w:szCs w:val="22"/>
                <w:lang w:val="el-GR"/>
              </w:rPr>
            </w:pPr>
            <w:r>
              <w:rPr>
                <w:rFonts w:cs="Arial"/>
                <w:sz w:val="22"/>
                <w:szCs w:val="22"/>
                <w:lang w:val="el-GR"/>
              </w:rPr>
              <w:t>Ηλεκτρολόγος  (Η/Λ)</w:t>
            </w:r>
          </w:p>
          <w:p>
            <w:pPr>
              <w:pStyle w:val="Normal"/>
              <w:jc w:val="center"/>
              <w:rPr>
                <w:rFonts w:cs="Arial"/>
                <w:sz w:val="22"/>
                <w:szCs w:val="22"/>
                <w:lang w:val="el-GR"/>
              </w:rPr>
            </w:pPr>
            <w:r>
              <w:rPr>
                <w:rFonts w:cs="Arial"/>
                <w:sz w:val="22"/>
                <w:szCs w:val="22"/>
                <w:lang w:val="el-GR"/>
              </w:rPr>
              <w:t>&amp; λοιπών ειδικοτήτων</w:t>
            </w:r>
          </w:p>
        </w:tc>
        <w:tc>
          <w:tcPr>
            <w:tcW w:w="2441" w:type="dxa"/>
            <w:tcBorders/>
          </w:tcPr>
          <w:p>
            <w:pPr>
              <w:pStyle w:val="Normal"/>
              <w:jc w:val="center"/>
              <w:rPr>
                <w:sz w:val="20"/>
                <w:szCs w:val="20"/>
              </w:rPr>
            </w:pPr>
            <w:r>
              <w:rPr>
                <w:rFonts w:cs="Arial"/>
                <w:sz w:val="20"/>
                <w:szCs w:val="20"/>
                <w:lang w:val="el-GR"/>
              </w:rPr>
              <w:t>Ηλεκτρονικός Υπολογιστών &amp; Δικτύων (ΗΥ/Λ)</w:t>
            </w:r>
          </w:p>
          <w:p>
            <w:pPr>
              <w:pStyle w:val="Normal"/>
              <w:jc w:val="center"/>
              <w:rPr>
                <w:sz w:val="21"/>
                <w:szCs w:val="21"/>
              </w:rPr>
            </w:pPr>
            <w:r>
              <w:rPr>
                <w:rFonts w:cs="Arial"/>
                <w:sz w:val="21"/>
                <w:szCs w:val="21"/>
                <w:lang w:val="el-GR"/>
              </w:rPr>
              <w:t>&amp; λοιπών ειδικοτήτων</w:t>
            </w:r>
          </w:p>
        </w:tc>
        <w:tc>
          <w:tcPr>
            <w:tcW w:w="2273" w:type="dxa"/>
            <w:tcBorders/>
          </w:tcPr>
          <w:p>
            <w:pPr>
              <w:pStyle w:val="Normal"/>
              <w:jc w:val="center"/>
              <w:rPr>
                <w:rFonts w:cs="Arial"/>
                <w:sz w:val="22"/>
                <w:szCs w:val="22"/>
                <w:lang w:val="el-GR"/>
              </w:rPr>
            </w:pPr>
            <w:r>
              <w:rPr>
                <w:rFonts w:cs="Arial"/>
                <w:sz w:val="22"/>
                <w:szCs w:val="22"/>
                <w:lang w:val="el-GR"/>
              </w:rPr>
              <w:t>Μουσικός (ΜΟΥΣ)</w:t>
            </w:r>
          </w:p>
        </w:tc>
      </w:tr>
    </w:tbl>
    <w:p>
      <w:pPr>
        <w:pStyle w:val="BodyText"/>
        <w:rPr/>
      </w:pPr>
      <w:r>
        <w:rPr/>
      </w:r>
    </w:p>
    <w:p>
      <w:pPr>
        <w:pStyle w:val="BodyText"/>
        <w:rPr/>
      </w:pPr>
      <w:r>
        <w:rPr/>
      </w:r>
    </w:p>
    <w:tbl>
      <w:tblPr>
        <w:tblW w:w="5000" w:type="pct"/>
        <w:jc w:val="start"/>
        <w:tblInd w:w="55" w:type="dxa"/>
        <w:tblLayout w:type="fixed"/>
        <w:tblCellMar>
          <w:top w:w="55" w:type="dxa"/>
          <w:start w:w="55" w:type="dxa"/>
          <w:bottom w:w="55" w:type="dxa"/>
          <w:end w:w="55" w:type="dxa"/>
        </w:tblCellMar>
      </w:tblPr>
      <w:tblGrid>
        <w:gridCol w:w="2406"/>
        <w:gridCol w:w="387"/>
        <w:gridCol w:w="20"/>
        <w:gridCol w:w="2004"/>
        <w:gridCol w:w="106"/>
        <w:gridCol w:w="1362"/>
        <w:gridCol w:w="19"/>
        <w:gridCol w:w="1060"/>
        <w:gridCol w:w="2099"/>
        <w:gridCol w:w="174"/>
      </w:tblGrid>
      <w:tr>
        <w:trPr>
          <w:trHeight w:val="2146" w:hRule="atLeast"/>
        </w:trPr>
        <w:tc>
          <w:tcPr>
            <w:tcW w:w="2406" w:type="dxa"/>
            <w:tcBorders/>
          </w:tcPr>
          <w:p>
            <w:pPr>
              <w:pStyle w:val="Normal"/>
              <w:jc w:val="center"/>
              <w:rPr>
                <w:rFonts w:cs="Arial"/>
                <w:color w:val="FF0000"/>
                <w:lang w:val="el-GR"/>
              </w:rPr>
            </w:pPr>
            <w:r>
              <w:rPr/>
              <w:drawing>
                <wp:inline distT="0" distB="0" distL="0" distR="0">
                  <wp:extent cx="1384300" cy="1417955"/>
                  <wp:effectExtent l="0" t="0" r="0" b="0"/>
                  <wp:docPr id="17"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 descr="" title=""/>
                          <pic:cNvPicPr>
                            <a:picLocks noChangeAspect="1" noChangeArrowheads="1"/>
                          </pic:cNvPicPr>
                        </pic:nvPicPr>
                        <pic:blipFill>
                          <a:blip r:embed="rId18"/>
                          <a:srcRect l="-102" t="-181" r="-102" b="-181"/>
                          <a:stretch>
                            <a:fillRect/>
                          </a:stretch>
                        </pic:blipFill>
                        <pic:spPr bwMode="auto">
                          <a:xfrm>
                            <a:off x="0" y="0"/>
                            <a:ext cx="1384300" cy="1417955"/>
                          </a:xfrm>
                          <a:prstGeom prst="rect">
                            <a:avLst/>
                          </a:prstGeom>
                          <a:noFill/>
                        </pic:spPr>
                      </pic:pic>
                    </a:graphicData>
                  </a:graphic>
                </wp:inline>
              </w:drawing>
            </w:r>
          </w:p>
        </w:tc>
        <w:tc>
          <w:tcPr>
            <w:tcW w:w="2517" w:type="dxa"/>
            <w:gridSpan w:val="4"/>
            <w:tcBorders/>
          </w:tcPr>
          <w:p>
            <w:pPr>
              <w:pStyle w:val="Normal"/>
              <w:jc w:val="center"/>
              <w:rPr>
                <w:rFonts w:cs="Arial"/>
                <w:color w:val="FF0000"/>
                <w:lang w:val="el-GR"/>
              </w:rPr>
            </w:pPr>
            <w:r>
              <w:rPr/>
              <w:drawing>
                <wp:inline distT="0" distB="0" distL="0" distR="0">
                  <wp:extent cx="1516380" cy="1360805"/>
                  <wp:effectExtent l="0" t="0" r="0" b="0"/>
                  <wp:docPr id="18"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 descr="" title=""/>
                          <pic:cNvPicPr>
                            <a:picLocks noChangeAspect="1" noChangeArrowheads="1"/>
                          </pic:cNvPicPr>
                        </pic:nvPicPr>
                        <pic:blipFill>
                          <a:blip r:embed="rId19"/>
                          <a:srcRect l="-103" t="-175" r="-103" b="-175"/>
                          <a:stretch>
                            <a:fillRect/>
                          </a:stretch>
                        </pic:blipFill>
                        <pic:spPr bwMode="auto">
                          <a:xfrm>
                            <a:off x="0" y="0"/>
                            <a:ext cx="1516380" cy="1360805"/>
                          </a:xfrm>
                          <a:prstGeom prst="rect">
                            <a:avLst/>
                          </a:prstGeom>
                          <a:noFill/>
                        </pic:spPr>
                      </pic:pic>
                    </a:graphicData>
                  </a:graphic>
                </wp:inline>
              </w:drawing>
            </w:r>
          </w:p>
        </w:tc>
        <w:tc>
          <w:tcPr>
            <w:tcW w:w="2441" w:type="dxa"/>
            <w:gridSpan w:val="3"/>
            <w:tcBorders/>
          </w:tcPr>
          <w:p>
            <w:pPr>
              <w:pStyle w:val="Normal"/>
              <w:jc w:val="center"/>
              <w:rPr>
                <w:rFonts w:cs="Arial"/>
                <w:color w:val="FF0000"/>
                <w:lang w:val="el-GR"/>
              </w:rPr>
            </w:pPr>
            <w:r>
              <w:rPr/>
              <w:drawing>
                <wp:inline distT="0" distB="0" distL="0" distR="0">
                  <wp:extent cx="1402080" cy="1348105"/>
                  <wp:effectExtent l="0" t="0" r="0" b="0"/>
                  <wp:docPr id="19"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 descr="" title=""/>
                          <pic:cNvPicPr>
                            <a:picLocks noChangeAspect="1" noChangeArrowheads="1"/>
                          </pic:cNvPicPr>
                        </pic:nvPicPr>
                        <pic:blipFill>
                          <a:blip r:embed="rId20"/>
                          <a:srcRect l="-109" t="-203" r="-109" b="-203"/>
                          <a:stretch>
                            <a:fillRect/>
                          </a:stretch>
                        </pic:blipFill>
                        <pic:spPr bwMode="auto">
                          <a:xfrm>
                            <a:off x="0" y="0"/>
                            <a:ext cx="1402080" cy="1348105"/>
                          </a:xfrm>
                          <a:prstGeom prst="rect">
                            <a:avLst/>
                          </a:prstGeom>
                          <a:noFill/>
                        </pic:spPr>
                      </pic:pic>
                    </a:graphicData>
                  </a:graphic>
                </wp:inline>
              </w:drawing>
            </w:r>
          </w:p>
        </w:tc>
        <w:tc>
          <w:tcPr>
            <w:tcW w:w="2273" w:type="dxa"/>
            <w:gridSpan w:val="2"/>
            <w:tcBorders/>
          </w:tcPr>
          <w:p>
            <w:pPr>
              <w:pStyle w:val="Normal"/>
              <w:jc w:val="center"/>
              <w:rPr>
                <w:rFonts w:cs="Arial"/>
                <w:color w:val="FF0000"/>
                <w:lang w:val="el-GR"/>
              </w:rPr>
            </w:pPr>
            <w:r>
              <w:rPr/>
              <w:drawing>
                <wp:inline distT="0" distB="0" distL="0" distR="0">
                  <wp:extent cx="1392555" cy="1351280"/>
                  <wp:effectExtent l="0" t="0" r="0" b="0"/>
                  <wp:docPr id="20"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 descr="" title=""/>
                          <pic:cNvPicPr>
                            <a:picLocks noChangeAspect="1" noChangeArrowheads="1"/>
                          </pic:cNvPicPr>
                        </pic:nvPicPr>
                        <pic:blipFill>
                          <a:blip r:embed="rId21"/>
                          <a:srcRect l="-98" t="-167" r="-98" b="-167"/>
                          <a:stretch>
                            <a:fillRect/>
                          </a:stretch>
                        </pic:blipFill>
                        <pic:spPr bwMode="auto">
                          <a:xfrm>
                            <a:off x="0" y="0"/>
                            <a:ext cx="1392555" cy="1351280"/>
                          </a:xfrm>
                          <a:prstGeom prst="rect">
                            <a:avLst/>
                          </a:prstGeom>
                          <a:noFill/>
                        </pic:spPr>
                      </pic:pic>
                    </a:graphicData>
                  </a:graphic>
                </wp:inline>
              </w:drawing>
            </w:r>
          </w:p>
        </w:tc>
      </w:tr>
      <w:tr>
        <w:trPr/>
        <w:tc>
          <w:tcPr>
            <w:tcW w:w="2406" w:type="dxa"/>
            <w:tcBorders/>
          </w:tcPr>
          <w:p>
            <w:pPr>
              <w:pStyle w:val="Normal"/>
              <w:jc w:val="center"/>
              <w:rPr>
                <w:rFonts w:cs="Arial"/>
                <w:sz w:val="22"/>
                <w:szCs w:val="22"/>
                <w:lang w:val="el-GR"/>
              </w:rPr>
            </w:pPr>
            <w:r>
              <w:rPr>
                <w:rFonts w:cs="Arial"/>
                <w:sz w:val="22"/>
                <w:szCs w:val="22"/>
                <w:lang w:val="el-GR"/>
              </w:rPr>
              <w:t>Σχεδιαστής (ΣΧΕΔ)</w:t>
            </w:r>
          </w:p>
          <w:p>
            <w:pPr>
              <w:pStyle w:val="Normal"/>
              <w:jc w:val="center"/>
              <w:rPr>
                <w:rFonts w:cs="Arial"/>
                <w:sz w:val="22"/>
                <w:szCs w:val="22"/>
                <w:lang w:val="el-GR"/>
              </w:rPr>
            </w:pPr>
            <w:r>
              <w:rPr>
                <w:rFonts w:cs="Arial"/>
                <w:sz w:val="22"/>
                <w:szCs w:val="22"/>
                <w:lang w:val="el-GR"/>
              </w:rPr>
              <w:t>&amp; λοιπών ειδικοτήτων</w:t>
            </w:r>
          </w:p>
        </w:tc>
        <w:tc>
          <w:tcPr>
            <w:tcW w:w="2517" w:type="dxa"/>
            <w:gridSpan w:val="4"/>
            <w:tcBorders/>
          </w:tcPr>
          <w:p>
            <w:pPr>
              <w:pStyle w:val="Normal"/>
              <w:jc w:val="center"/>
              <w:rPr>
                <w:rFonts w:cs="Arial"/>
                <w:sz w:val="22"/>
                <w:szCs w:val="22"/>
                <w:lang w:val="el-GR"/>
              </w:rPr>
            </w:pPr>
            <w:r>
              <w:rPr>
                <w:rFonts w:cs="Arial"/>
                <w:sz w:val="22"/>
                <w:szCs w:val="22"/>
                <w:lang w:val="el-GR"/>
              </w:rPr>
              <w:t>Τεχνικός Ηλεκτρονικών Συστημάτων (Τ/ΗΝ)</w:t>
            </w:r>
          </w:p>
          <w:p>
            <w:pPr>
              <w:pStyle w:val="Normal"/>
              <w:jc w:val="center"/>
              <w:rPr>
                <w:rFonts w:cs="Arial"/>
                <w:sz w:val="22"/>
                <w:szCs w:val="22"/>
                <w:lang w:val="el-GR"/>
              </w:rPr>
            </w:pPr>
            <w:r>
              <w:rPr>
                <w:rFonts w:cs="Arial"/>
                <w:sz w:val="22"/>
                <w:szCs w:val="22"/>
                <w:lang w:val="el-GR"/>
              </w:rPr>
              <w:t>&amp; λοιπών ειδικοτήτων</w:t>
            </w:r>
          </w:p>
        </w:tc>
        <w:tc>
          <w:tcPr>
            <w:tcW w:w="2441" w:type="dxa"/>
            <w:gridSpan w:val="3"/>
            <w:tcBorders/>
          </w:tcPr>
          <w:p>
            <w:pPr>
              <w:pStyle w:val="Normal"/>
              <w:jc w:val="center"/>
              <w:rPr>
                <w:rFonts w:cs="Arial"/>
                <w:sz w:val="22"/>
                <w:szCs w:val="22"/>
                <w:lang w:val="el-GR"/>
              </w:rPr>
            </w:pPr>
            <w:r>
              <w:rPr>
                <w:rFonts w:cs="Arial"/>
                <w:sz w:val="22"/>
                <w:szCs w:val="22"/>
                <w:lang w:val="el-GR"/>
              </w:rPr>
              <w:t>Τεχνικός Μηχανολογικών Συστημάτων (Τ/ΜΗΧ)</w:t>
            </w:r>
          </w:p>
          <w:p>
            <w:pPr>
              <w:pStyle w:val="Normal"/>
              <w:jc w:val="center"/>
              <w:rPr>
                <w:rFonts w:cs="Arial"/>
                <w:sz w:val="22"/>
                <w:szCs w:val="22"/>
                <w:lang w:val="el-GR"/>
              </w:rPr>
            </w:pPr>
            <w:r>
              <w:rPr>
                <w:rFonts w:cs="Arial"/>
                <w:sz w:val="22"/>
                <w:szCs w:val="22"/>
                <w:lang w:val="el-GR"/>
              </w:rPr>
              <w:t>&amp; λοιπών ειδικοτήτων</w:t>
            </w:r>
          </w:p>
        </w:tc>
        <w:tc>
          <w:tcPr>
            <w:tcW w:w="2273" w:type="dxa"/>
            <w:gridSpan w:val="2"/>
            <w:tcBorders/>
          </w:tcPr>
          <w:p>
            <w:pPr>
              <w:pStyle w:val="Normal"/>
              <w:jc w:val="center"/>
              <w:rPr>
                <w:rFonts w:cs="Arial"/>
                <w:sz w:val="22"/>
                <w:szCs w:val="22"/>
                <w:lang w:val="el-GR"/>
              </w:rPr>
            </w:pPr>
            <w:r>
              <w:rPr>
                <w:rFonts w:cs="Arial"/>
                <w:sz w:val="22"/>
                <w:szCs w:val="22"/>
                <w:lang w:val="el-GR"/>
              </w:rPr>
              <w:t>Τεχνικός Συνεργείων (Τ/ΣΥΝ)</w:t>
            </w:r>
          </w:p>
          <w:p>
            <w:pPr>
              <w:pStyle w:val="Normal"/>
              <w:jc w:val="center"/>
              <w:rPr>
                <w:sz w:val="21"/>
                <w:szCs w:val="21"/>
              </w:rPr>
            </w:pPr>
            <w:r>
              <w:rPr>
                <w:rFonts w:cs="Arial"/>
                <w:sz w:val="21"/>
                <w:szCs w:val="21"/>
                <w:lang w:val="el-GR"/>
              </w:rPr>
              <w:t>&amp; λοιπών ειδικοτήτων</w:t>
            </w:r>
          </w:p>
        </w:tc>
      </w:tr>
      <w:tr>
        <w:trPr/>
        <w:tc>
          <w:tcPr>
            <w:tcW w:w="2793" w:type="dxa"/>
            <w:gridSpan w:val="2"/>
            <w:tcBorders/>
          </w:tcPr>
          <w:p>
            <w:pPr>
              <w:pStyle w:val="TableContents"/>
              <w:jc w:val="center"/>
              <w:rPr>
                <w:lang w:val="el-GR"/>
              </w:rPr>
            </w:pPr>
            <w:r>
              <w:rPr/>
              <w:drawing>
                <wp:inline distT="0" distB="0" distL="0" distR="0">
                  <wp:extent cx="1441450" cy="1348105"/>
                  <wp:effectExtent l="0" t="0" r="0" b="0"/>
                  <wp:docPr id="21"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 descr="" title=""/>
                          <pic:cNvPicPr>
                            <a:picLocks noChangeAspect="1" noChangeArrowheads="1"/>
                          </pic:cNvPicPr>
                        </pic:nvPicPr>
                        <pic:blipFill>
                          <a:blip r:embed="rId22"/>
                          <a:srcRect l="-102" t="-218" r="-102" b="-218"/>
                          <a:stretch>
                            <a:fillRect/>
                          </a:stretch>
                        </pic:blipFill>
                        <pic:spPr bwMode="auto">
                          <a:xfrm>
                            <a:off x="0" y="0"/>
                            <a:ext cx="1441450" cy="1348105"/>
                          </a:xfrm>
                          <a:prstGeom prst="rect">
                            <a:avLst/>
                          </a:prstGeom>
                          <a:noFill/>
                        </pic:spPr>
                      </pic:pic>
                    </a:graphicData>
                  </a:graphic>
                </wp:inline>
              </w:drawing>
              <w:drawing>
                <wp:anchor behindDoc="0" distT="0" distB="0" distL="0" distR="0" simplePos="0" locked="0" layoutInCell="0" allowOverlap="1" relativeHeight="24">
                  <wp:simplePos x="0" y="0"/>
                  <wp:positionH relativeFrom="column">
                    <wp:posOffset>3997325</wp:posOffset>
                  </wp:positionH>
                  <wp:positionV relativeFrom="paragraph">
                    <wp:posOffset>62865</wp:posOffset>
                  </wp:positionV>
                  <wp:extent cx="1978025" cy="1168400"/>
                  <wp:effectExtent l="0" t="0" r="0" b="0"/>
                  <wp:wrapSquare wrapText="largest"/>
                  <wp:docPr id="22" name="Image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 Copy 1" descr="" title=""/>
                          <pic:cNvPicPr>
                            <a:picLocks noChangeAspect="1" noChangeArrowheads="1"/>
                          </pic:cNvPicPr>
                        </pic:nvPicPr>
                        <pic:blipFill>
                          <a:blip r:embed="rId23"/>
                          <a:srcRect l="72943" t="36974" r="7509" b="55385"/>
                          <a:stretch>
                            <a:fillRect/>
                          </a:stretch>
                        </pic:blipFill>
                        <pic:spPr bwMode="auto">
                          <a:xfrm>
                            <a:off x="0" y="0"/>
                            <a:ext cx="1978025" cy="1168400"/>
                          </a:xfrm>
                          <a:prstGeom prst="rect">
                            <a:avLst/>
                          </a:prstGeom>
                          <a:noFill/>
                        </pic:spPr>
                      </pic:pic>
                    </a:graphicData>
                  </a:graphic>
                </wp:anchor>
              </w:drawing>
            </w:r>
          </w:p>
        </w:tc>
        <w:tc>
          <w:tcPr>
            <w:tcW w:w="3511" w:type="dxa"/>
            <w:gridSpan w:val="5"/>
            <w:tcBorders/>
          </w:tcPr>
          <w:p>
            <w:pPr>
              <w:pStyle w:val="TableContents"/>
              <w:jc w:val="center"/>
              <w:rPr>
                <w:lang w:val="el-GR"/>
              </w:rPr>
            </w:pPr>
            <w:r>
              <w:rPr/>
              <w:drawing>
                <wp:inline distT="0" distB="0" distL="0" distR="0">
                  <wp:extent cx="1424305" cy="1355090"/>
                  <wp:effectExtent l="0" t="0" r="0" b="0"/>
                  <wp:docPr id="23"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5" descr="" title=""/>
                          <pic:cNvPicPr>
                            <a:picLocks noChangeAspect="1" noChangeArrowheads="1"/>
                          </pic:cNvPicPr>
                        </pic:nvPicPr>
                        <pic:blipFill>
                          <a:blip r:embed="rId24"/>
                          <a:srcRect l="-106" t="-180" r="-106" b="-180"/>
                          <a:stretch>
                            <a:fillRect/>
                          </a:stretch>
                        </pic:blipFill>
                        <pic:spPr bwMode="auto">
                          <a:xfrm>
                            <a:off x="0" y="0"/>
                            <a:ext cx="1424305" cy="1355090"/>
                          </a:xfrm>
                          <a:prstGeom prst="rect">
                            <a:avLst/>
                          </a:prstGeom>
                          <a:noFill/>
                        </pic:spPr>
                      </pic:pic>
                    </a:graphicData>
                  </a:graphic>
                </wp:inline>
              </w:drawing>
            </w:r>
          </w:p>
        </w:tc>
        <w:tc>
          <w:tcPr>
            <w:tcW w:w="3333" w:type="dxa"/>
            <w:gridSpan w:val="3"/>
            <w:tcBorders/>
          </w:tcPr>
          <w:p>
            <w:pPr>
              <w:pStyle w:val="TableContents"/>
              <w:snapToGrid w:val="false"/>
              <w:rPr>
                <w:lang w:val="el-GR"/>
              </w:rPr>
            </w:pPr>
            <w:r>
              <w:rPr>
                <w:lang w:val="el-GR"/>
              </w:rPr>
            </w:r>
          </w:p>
        </w:tc>
      </w:tr>
      <w:tr>
        <w:trPr/>
        <w:tc>
          <w:tcPr>
            <w:tcW w:w="2813" w:type="dxa"/>
            <w:gridSpan w:val="3"/>
            <w:tcBorders/>
          </w:tcPr>
          <w:p>
            <w:pPr>
              <w:pStyle w:val="Normal"/>
              <w:jc w:val="center"/>
              <w:rPr>
                <w:rFonts w:cs="Arial"/>
                <w:sz w:val="22"/>
                <w:szCs w:val="22"/>
                <w:lang w:val="el-GR"/>
              </w:rPr>
            </w:pPr>
            <w:r>
              <w:rPr>
                <w:rFonts w:cs="Arial"/>
                <w:sz w:val="22"/>
                <w:szCs w:val="22"/>
                <w:lang w:val="el-GR"/>
              </w:rPr>
              <w:t>Τεχνίτης Όπλων (Τ/ΟΠΛ)</w:t>
            </w:r>
          </w:p>
          <w:p>
            <w:pPr>
              <w:pStyle w:val="Normal"/>
              <w:jc w:val="center"/>
              <w:rPr>
                <w:rFonts w:cs="Arial"/>
                <w:sz w:val="22"/>
                <w:szCs w:val="22"/>
                <w:lang w:val="el-GR"/>
              </w:rPr>
            </w:pPr>
            <w:r>
              <w:rPr>
                <w:rFonts w:cs="Arial"/>
                <w:sz w:val="22"/>
                <w:szCs w:val="22"/>
                <w:lang w:val="el-GR"/>
              </w:rPr>
              <w:t>&amp; λοιπών ειδικοτήτων</w:t>
            </w:r>
          </w:p>
        </w:tc>
        <w:tc>
          <w:tcPr>
            <w:tcW w:w="3472" w:type="dxa"/>
            <w:gridSpan w:val="3"/>
            <w:tcBorders/>
          </w:tcPr>
          <w:p>
            <w:pPr>
              <w:pStyle w:val="Normal"/>
              <w:jc w:val="center"/>
              <w:rPr>
                <w:rFonts w:cs="Arial"/>
                <w:sz w:val="22"/>
                <w:szCs w:val="22"/>
                <w:lang w:val="el-GR"/>
              </w:rPr>
            </w:pPr>
            <w:r>
              <w:rPr>
                <w:rFonts w:cs="Arial"/>
                <w:sz w:val="22"/>
                <w:szCs w:val="22"/>
                <w:lang w:val="el-GR"/>
              </w:rPr>
              <w:t>Βοηθός Νοσηλευτικής (Β/ΝΟΣ)</w:t>
            </w:r>
          </w:p>
          <w:p>
            <w:pPr>
              <w:pStyle w:val="Normal"/>
              <w:jc w:val="center"/>
              <w:rPr>
                <w:rFonts w:cs="Arial"/>
                <w:sz w:val="22"/>
                <w:szCs w:val="22"/>
                <w:lang w:val="el-GR"/>
              </w:rPr>
            </w:pPr>
            <w:r>
              <w:rPr>
                <w:rFonts w:cs="Arial"/>
                <w:sz w:val="22"/>
                <w:szCs w:val="22"/>
                <w:lang w:val="el-GR"/>
              </w:rPr>
              <w:t>&amp; λοιπών ειδικοτήτων</w:t>
            </w:r>
          </w:p>
        </w:tc>
        <w:tc>
          <w:tcPr>
            <w:tcW w:w="3178" w:type="dxa"/>
            <w:gridSpan w:val="3"/>
            <w:tcBorders/>
          </w:tcPr>
          <w:p>
            <w:pPr>
              <w:pStyle w:val="TableContents"/>
              <w:snapToGrid w:val="false"/>
              <w:jc w:val="center"/>
              <w:rPr>
                <w:lang w:val="el-GR"/>
              </w:rPr>
            </w:pPr>
            <w:r>
              <w:rPr>
                <w:lang w:val="el-GR"/>
              </w:rPr>
              <w:t>Φυσιοθεραπευτής</w:t>
            </w:r>
            <w:r>
              <w:rPr>
                <w:rFonts w:cs="Arial"/>
                <w:sz w:val="22"/>
                <w:szCs w:val="22"/>
                <w:lang w:val="el-GR"/>
              </w:rPr>
              <w:t xml:space="preserve"> (ΦΥΣ)</w:t>
            </w:r>
          </w:p>
          <w:p>
            <w:pPr>
              <w:pStyle w:val="Normal"/>
              <w:jc w:val="center"/>
              <w:rPr>
                <w:rFonts w:cs="Arial"/>
                <w:sz w:val="22"/>
                <w:szCs w:val="22"/>
                <w:lang w:val="el-GR"/>
              </w:rPr>
            </w:pPr>
            <w:r>
              <w:rPr>
                <w:rFonts w:cs="Arial"/>
                <w:sz w:val="22"/>
                <w:szCs w:val="22"/>
              </w:rPr>
              <w:t>&amp; λοιπών ειδικοτήτων</w:t>
            </w:r>
          </w:p>
        </w:tc>
        <w:tc>
          <w:tcPr>
            <w:tcW w:w="174" w:type="dxa"/>
            <w:tcBorders/>
            <w:tcMar>
              <w:top w:w="0" w:type="dxa"/>
              <w:start w:w="0" w:type="dxa"/>
              <w:bottom w:w="0" w:type="dxa"/>
              <w:end w:w="0" w:type="dxa"/>
            </w:tcMar>
          </w:tcPr>
          <w:p>
            <w:pPr>
              <w:pStyle w:val="Normal"/>
              <w:jc w:val="center"/>
              <w:rPr/>
            </w:pPr>
            <w:r>
              <w:rPr/>
            </w:r>
          </w:p>
        </w:tc>
      </w:tr>
      <w:tr>
        <w:trPr/>
        <w:tc>
          <w:tcPr>
            <w:tcW w:w="4817" w:type="dxa"/>
            <w:gridSpan w:val="4"/>
            <w:tcBorders/>
          </w:tcPr>
          <w:p>
            <w:pPr>
              <w:pStyle w:val="TableContents"/>
              <w:jc w:val="center"/>
              <w:rPr/>
            </w:pPr>
            <w:r>
              <w:rPr/>
              <w:drawing>
                <wp:inline distT="0" distB="0" distL="0" distR="0">
                  <wp:extent cx="1415415" cy="1405255"/>
                  <wp:effectExtent l="0" t="0" r="0" b="0"/>
                  <wp:docPr id="24" name="Image15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 Copy 1" descr="" title=""/>
                          <pic:cNvPicPr>
                            <a:picLocks noChangeAspect="1" noChangeArrowheads="1"/>
                          </pic:cNvPicPr>
                        </pic:nvPicPr>
                        <pic:blipFill>
                          <a:blip r:embed="rId25"/>
                          <a:srcRect l="-25" t="-38" r="-25" b="-38"/>
                          <a:stretch>
                            <a:fillRect/>
                          </a:stretch>
                        </pic:blipFill>
                        <pic:spPr bwMode="auto">
                          <a:xfrm>
                            <a:off x="0" y="0"/>
                            <a:ext cx="1415415" cy="1405255"/>
                          </a:xfrm>
                          <a:prstGeom prst="rect">
                            <a:avLst/>
                          </a:prstGeom>
                          <a:noFill/>
                        </pic:spPr>
                      </pic:pic>
                    </a:graphicData>
                  </a:graphic>
                </wp:inline>
              </w:drawing>
            </w:r>
          </w:p>
        </w:tc>
        <w:tc>
          <w:tcPr>
            <w:tcW w:w="4820" w:type="dxa"/>
            <w:gridSpan w:val="6"/>
            <w:tcBorders/>
          </w:tcPr>
          <w:p>
            <w:pPr>
              <w:pStyle w:val="TableContents"/>
              <w:jc w:val="center"/>
              <w:rPr/>
            </w:pPr>
            <w:r>
              <w:rPr/>
              <w:drawing>
                <wp:inline distT="0" distB="0" distL="0" distR="0">
                  <wp:extent cx="1400810" cy="1346835"/>
                  <wp:effectExtent l="0" t="0" r="0" b="0"/>
                  <wp:docPr id="25" name="Image17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 Copy 1" descr="" title=""/>
                          <pic:cNvPicPr>
                            <a:picLocks noChangeAspect="1" noChangeArrowheads="1"/>
                          </pic:cNvPicPr>
                        </pic:nvPicPr>
                        <pic:blipFill>
                          <a:blip r:embed="rId26"/>
                          <a:srcRect l="-23" t="-38" r="-23" b="-38"/>
                          <a:stretch>
                            <a:fillRect/>
                          </a:stretch>
                        </pic:blipFill>
                        <pic:spPr bwMode="auto">
                          <a:xfrm>
                            <a:off x="0" y="0"/>
                            <a:ext cx="1400810" cy="1346835"/>
                          </a:xfrm>
                          <a:prstGeom prst="rect">
                            <a:avLst/>
                          </a:prstGeom>
                          <a:noFill/>
                        </pic:spPr>
                      </pic:pic>
                    </a:graphicData>
                  </a:graphic>
                </wp:inline>
              </w:drawing>
            </w:r>
          </w:p>
        </w:tc>
      </w:tr>
      <w:tr>
        <w:trPr/>
        <w:tc>
          <w:tcPr>
            <w:tcW w:w="4817" w:type="dxa"/>
            <w:gridSpan w:val="4"/>
            <w:tcBorders/>
          </w:tcPr>
          <w:p>
            <w:pPr>
              <w:pStyle w:val="TableContents"/>
              <w:jc w:val="center"/>
              <w:rPr>
                <w:lang w:val="el-GR"/>
              </w:rPr>
            </w:pPr>
            <w:r>
              <w:rPr>
                <w:lang w:val="el-GR"/>
              </w:rPr>
              <w:t>Ιατρός – Οδοντίατρος (ΙΑΤ)</w:t>
            </w:r>
          </w:p>
        </w:tc>
        <w:tc>
          <w:tcPr>
            <w:tcW w:w="4820" w:type="dxa"/>
            <w:gridSpan w:val="6"/>
            <w:tcBorders/>
          </w:tcPr>
          <w:p>
            <w:pPr>
              <w:pStyle w:val="TableContents"/>
              <w:jc w:val="center"/>
              <w:rPr/>
            </w:pPr>
            <w:r>
              <w:rPr/>
              <w:t>Οδηγός (Τροχοφόρων Οχημάτων) (ΟΔΗ)</w:t>
            </w:r>
          </w:p>
        </w:tc>
      </w:tr>
    </w:tbl>
    <w:p>
      <w:pPr>
        <w:pStyle w:val="Normal"/>
        <w:rPr>
          <w:sz w:val="24"/>
          <w:szCs w:val="24"/>
        </w:rPr>
      </w:pPr>
      <w:r>
        <w:rPr>
          <w:sz w:val="24"/>
          <w:szCs w:val="24"/>
        </w:rPr>
      </w:r>
    </w:p>
    <w:p>
      <w:pPr>
        <w:pStyle w:val="Normal"/>
        <w:rPr>
          <w:sz w:val="24"/>
          <w:szCs w:val="24"/>
        </w:rPr>
      </w:pPr>
      <w:r>
        <w:rPr>
          <w:rFonts w:cs="Arial"/>
          <w:b/>
          <w:sz w:val="24"/>
          <w:szCs w:val="24"/>
          <w:u w:val="single"/>
          <w:lang w:val="el-GR"/>
        </w:rPr>
        <w:t>Σημείωση 1:</w:t>
      </w:r>
      <w:r>
        <w:rPr>
          <w:rFonts w:cs="Arial"/>
          <w:b/>
          <w:sz w:val="24"/>
          <w:szCs w:val="24"/>
          <w:lang w:val="el-GR"/>
        </w:rPr>
        <w:t xml:space="preserve"> </w:t>
      </w:r>
      <w:r>
        <w:rPr>
          <w:rFonts w:cs="Arial"/>
          <w:sz w:val="24"/>
          <w:szCs w:val="24"/>
          <w:lang w:val="el-GR"/>
        </w:rPr>
        <w:t>Όλα τα στοιχεία των διακριτικών των ειδικοτήτων και τεχνών των υπαξιωματικών θα ράβονται με χρυσοκίτρινη γυαλιστερή κλωστή της § 4.2.4</w:t>
      </w:r>
    </w:p>
    <w:p>
      <w:pPr>
        <w:pStyle w:val="Normal"/>
        <w:rPr>
          <w:b/>
          <w:bCs/>
        </w:rPr>
      </w:pPr>
      <w:r>
        <w:rPr>
          <w:rFonts w:cs="Arial"/>
          <w:b/>
          <w:bCs/>
          <w:sz w:val="24"/>
          <w:szCs w:val="24"/>
          <w:u w:val="single"/>
          <w:lang w:val="el-GR"/>
        </w:rPr>
        <w:t>Σημείωση 2:</w:t>
      </w:r>
      <w:r>
        <w:rPr>
          <w:rFonts w:cs="Arial"/>
          <w:b w:val="false"/>
          <w:bCs w:val="false"/>
          <w:sz w:val="24"/>
          <w:szCs w:val="24"/>
          <w:lang w:val="el-GR"/>
        </w:rPr>
        <w:t xml:space="preserve"> Για τα διακριτικά της ειδικότητας του «Βοηθού Νοσηλευτικής» και «Φυσιοθεραπευτή» των Υπαξιωματικών θα χρησιμοποιείται παρόμοια κλωστή σύνθεσης και ιδιοτήτων με των ΕΠ.ΟΠ και Ν/Δ, αλλά κόκκινης και μαύρης γυαλιστερής απόχρωσης αντίστοιχα (όπως απεικονίζονται ανωτέρω).</w:t>
      </w:r>
    </w:p>
    <w:p>
      <w:pPr>
        <w:pStyle w:val="Normal"/>
        <w:rPr>
          <w:sz w:val="24"/>
          <w:szCs w:val="24"/>
        </w:rPr>
      </w:pPr>
      <w:r>
        <w:rPr>
          <w:rFonts w:cs="Arial"/>
          <w:b/>
          <w:bCs w:val="false"/>
          <w:sz w:val="24"/>
          <w:szCs w:val="24"/>
          <w:u w:val="single"/>
          <w:lang w:val="el-GR"/>
        </w:rPr>
        <w:t>Σημείωση 3:</w:t>
      </w:r>
      <w:r>
        <w:rPr>
          <w:rFonts w:cs="Arial"/>
          <w:b/>
          <w:bCs w:val="false"/>
          <w:sz w:val="24"/>
          <w:szCs w:val="24"/>
          <w:lang w:val="el-GR"/>
        </w:rPr>
        <w:t xml:space="preserve"> </w:t>
      </w:r>
      <w:r>
        <w:rPr>
          <w:rFonts w:cs="Arial"/>
          <w:b w:val="false"/>
          <w:bCs w:val="false"/>
          <w:sz w:val="24"/>
          <w:szCs w:val="24"/>
          <w:lang w:val="el-GR"/>
        </w:rPr>
        <w:t>Όλα τα στοιχεία των διακριτικών των ειδικοτήτων και τεχνών των ΕΠ.ΟΠ και των Ν/Δ  θα ράβονται κόκκινη γυαλιστερή κλωστή της § 4.2.4</w:t>
      </w:r>
    </w:p>
    <w:p>
      <w:pPr>
        <w:pStyle w:val="Normal"/>
        <w:rPr>
          <w:b/>
          <w:bCs/>
        </w:rPr>
      </w:pPr>
      <w:r>
        <w:rPr>
          <w:b/>
          <w:bCs/>
        </w:rPr>
      </w:r>
    </w:p>
    <w:p>
      <w:pPr>
        <w:pStyle w:val="Normal"/>
        <w:rPr>
          <w:lang w:val="el-GR"/>
        </w:rPr>
      </w:pPr>
      <w:r>
        <w:rPr>
          <w:lang w:val="el-GR"/>
        </w:rPr>
      </w:r>
    </w:p>
    <w:p>
      <w:pPr>
        <w:pStyle w:val="Normal"/>
        <w:rPr>
          <w:sz w:val="24"/>
          <w:szCs w:val="24"/>
          <w:lang w:val="el-GR"/>
        </w:rPr>
      </w:pPr>
      <w:r>
        <w:rPr>
          <w:b/>
          <w:sz w:val="24"/>
          <w:szCs w:val="24"/>
          <w:lang w:val="el-GR"/>
        </w:rPr>
        <w:t>4.2.2</w:t>
      </w:r>
      <w:r>
        <w:rPr>
          <w:sz w:val="24"/>
          <w:szCs w:val="24"/>
          <w:lang w:val="el-GR"/>
        </w:rPr>
        <w:t xml:space="preserve"> Γαλόνι (σειρίτι) κατασκευής σειρίδων του διακριτικών βαθμού των Υπαξιωματικών</w:t>
      </w:r>
    </w:p>
    <w:p>
      <w:pPr>
        <w:pStyle w:val="Normal"/>
        <w:rPr>
          <w:sz w:val="24"/>
          <w:szCs w:val="24"/>
          <w:lang w:val="el-GR"/>
        </w:rPr>
      </w:pPr>
      <w:r>
        <w:rPr>
          <w:sz w:val="24"/>
          <w:szCs w:val="24"/>
          <w:lang w:val="el-GR"/>
        </w:rPr>
        <w:t>Θα κατασκευάζεται από επίχρυση (χρυσοποίκιλτη) βαμβακερή ταινία πλάτους 10 mm.</w:t>
      </w:r>
    </w:p>
    <w:p>
      <w:pPr>
        <w:pStyle w:val="Normal"/>
        <w:rPr>
          <w:lang w:val="el-GR"/>
        </w:rPr>
      </w:pPr>
      <w:r>
        <w:rPr>
          <w:lang w:val="el-GR"/>
        </w:rPr>
      </w:r>
    </w:p>
    <w:p>
      <w:pPr>
        <w:pStyle w:val="Normal"/>
        <w:rPr/>
      </w:pPr>
      <w:r>
        <w:rPr>
          <w:b/>
          <w:sz w:val="24"/>
          <w:szCs w:val="24"/>
          <w:lang w:val="el-GR"/>
        </w:rPr>
        <w:t xml:space="preserve">4.2.3 </w:t>
      </w:r>
      <w:r>
        <w:rPr>
          <w:sz w:val="24"/>
          <w:szCs w:val="24"/>
          <w:lang w:val="el-GR"/>
        </w:rPr>
        <w:t>Ύφασμα διακριτικών (τσόχα):</w:t>
      </w:r>
    </w:p>
    <w:p>
      <w:pPr>
        <w:pStyle w:val="Normal"/>
        <w:rPr>
          <w:b/>
          <w:sz w:val="24"/>
          <w:szCs w:val="24"/>
          <w:lang w:val="el-GR"/>
        </w:rPr>
      </w:pPr>
      <w:r>
        <w:rPr>
          <w:b/>
          <w:sz w:val="24"/>
          <w:szCs w:val="24"/>
          <w:lang w:val="el-GR"/>
        </w:rPr>
        <w:t xml:space="preserve">4.2.3.1 </w:t>
      </w:r>
      <w:r>
        <w:rPr>
          <w:sz w:val="24"/>
          <w:szCs w:val="24"/>
          <w:lang w:val="el-GR"/>
        </w:rPr>
        <w:t>Σύνθεση,</w:t>
      </w:r>
      <w:r>
        <w:rPr>
          <w:rFonts w:cs="Arial"/>
          <w:sz w:val="24"/>
          <w:szCs w:val="24"/>
          <w:lang w:val="el-GR"/>
        </w:rPr>
        <w:t xml:space="preserve"> κατά ΕΝ ISO 1833-1 και ΕΝ ISO 1833-2 ή άλλο ισοδύναμο πρότυπο:</w:t>
      </w:r>
      <w:r>
        <w:rPr>
          <w:sz w:val="24"/>
          <w:szCs w:val="24"/>
          <w:lang w:val="el-GR"/>
        </w:rPr>
        <w:t xml:space="preserve"> </w:t>
      </w:r>
      <w:r>
        <w:rPr>
          <w:b/>
          <w:sz w:val="24"/>
          <w:szCs w:val="24"/>
          <w:lang w:val="el-GR"/>
        </w:rPr>
        <w:t xml:space="preserve"> </w:t>
      </w:r>
      <w:r>
        <w:rPr>
          <w:sz w:val="24"/>
          <w:szCs w:val="24"/>
          <w:lang w:val="el-GR"/>
        </w:rPr>
        <w:t xml:space="preserve">100% Πολυεστέρας </w:t>
      </w:r>
    </w:p>
    <w:p>
      <w:pPr>
        <w:pStyle w:val="Normal"/>
        <w:rPr>
          <w:rFonts w:cs="Arial"/>
          <w:b/>
          <w:sz w:val="24"/>
          <w:szCs w:val="24"/>
          <w:lang w:val="el-GR"/>
        </w:rPr>
      </w:pPr>
      <w:r>
        <w:rPr>
          <w:b/>
          <w:sz w:val="24"/>
          <w:szCs w:val="24"/>
          <w:lang w:val="el-GR"/>
        </w:rPr>
        <w:t xml:space="preserve">4.2.3.2 </w:t>
      </w:r>
      <w:r>
        <w:rPr>
          <w:rFonts w:cs="Arial"/>
          <w:sz w:val="24"/>
          <w:szCs w:val="24"/>
          <w:lang w:val="el-GR"/>
        </w:rPr>
        <w:t>Βάρος, κατά EN 12127 ή άλλο ισοδύναμο πρότυπο:</w:t>
      </w:r>
      <w:r>
        <w:rPr>
          <w:sz w:val="24"/>
          <w:szCs w:val="24"/>
          <w:lang w:val="el-GR"/>
        </w:rPr>
        <w:t xml:space="preserve"> 180 (-5% έως +10%) g/m</w:t>
      </w:r>
      <w:r>
        <w:rPr>
          <w:sz w:val="24"/>
          <w:szCs w:val="24"/>
          <w:vertAlign w:val="superscript"/>
          <w:lang w:val="el-GR"/>
        </w:rPr>
        <w:t>2</w:t>
      </w:r>
      <w:r>
        <w:rPr>
          <w:rFonts w:cs="Arial"/>
          <w:sz w:val="24"/>
          <w:szCs w:val="24"/>
          <w:lang w:val="el-GR"/>
        </w:rPr>
        <w:t>.</w:t>
      </w:r>
      <w:r>
        <w:rPr>
          <w:rFonts w:cs="Arial"/>
          <w:b/>
          <w:sz w:val="24"/>
          <w:szCs w:val="24"/>
          <w:lang w:val="el-GR"/>
        </w:rPr>
        <w:t xml:space="preserve"> </w:t>
      </w:r>
    </w:p>
    <w:p>
      <w:pPr>
        <w:pStyle w:val="Normal"/>
        <w:rPr>
          <w:rFonts w:cs="Arial"/>
          <w:b/>
          <w:sz w:val="24"/>
          <w:szCs w:val="24"/>
          <w:lang w:val="el-GR"/>
        </w:rPr>
      </w:pPr>
      <w:r>
        <w:rPr>
          <w:rFonts w:cs="Arial"/>
          <w:b/>
          <w:sz w:val="24"/>
          <w:szCs w:val="24"/>
          <w:lang w:val="el-GR"/>
        </w:rPr>
        <w:t>4.2.3.3</w:t>
      </w:r>
      <w:r>
        <w:rPr>
          <w:rFonts w:cs="Arial"/>
          <w:sz w:val="24"/>
          <w:szCs w:val="24"/>
          <w:lang w:val="el-GR"/>
        </w:rPr>
        <w:t xml:space="preserve"> </w:t>
      </w:r>
      <w:bookmarkStart w:id="0" w:name="OLE_LINK6_Copy_1"/>
      <w:r>
        <w:rPr>
          <w:rFonts w:cs="Arial"/>
          <w:sz w:val="24"/>
          <w:szCs w:val="24"/>
          <w:lang w:val="el-GR"/>
        </w:rPr>
        <w:t>Ύφανση κατά ISO 7211-1 ή άλλο ισοδύναμο πρότυπο:</w:t>
      </w:r>
      <w:bookmarkEnd w:id="0"/>
      <w:r>
        <w:rPr>
          <w:rFonts w:cs="Arial"/>
          <w:sz w:val="24"/>
          <w:szCs w:val="24"/>
          <w:lang w:val="el-GR"/>
        </w:rPr>
        <w:t xml:space="preserve"> Συνθετικό πίλημα (τσόχα) .</w:t>
      </w:r>
    </w:p>
    <w:p>
      <w:pPr>
        <w:pStyle w:val="Normal"/>
        <w:rPr>
          <w:lang w:val="el-GR"/>
        </w:rPr>
      </w:pPr>
      <w:r>
        <w:rPr>
          <w:rFonts w:cs="Arial"/>
          <w:b/>
          <w:sz w:val="24"/>
          <w:szCs w:val="24"/>
          <w:lang w:val="el-GR"/>
        </w:rPr>
        <w:t>4.2.3.4</w:t>
      </w:r>
      <w:r>
        <w:rPr>
          <w:rFonts w:cs="Arial"/>
          <w:sz w:val="24"/>
          <w:szCs w:val="24"/>
          <w:lang w:val="el-GR"/>
        </w:rPr>
        <w:t xml:space="preserve"> Απόχρωση: Μαύρη.</w:t>
      </w:r>
    </w:p>
    <w:p>
      <w:pPr>
        <w:pStyle w:val="Normal"/>
        <w:rPr>
          <w:lang w:val="el-GR"/>
        </w:rPr>
      </w:pPr>
      <w:r>
        <w:rPr>
          <w:lang w:val="el-GR"/>
        </w:rPr>
      </w:r>
    </w:p>
    <w:p>
      <w:pPr>
        <w:pStyle w:val="Normal"/>
        <w:rPr>
          <w:b/>
          <w:sz w:val="24"/>
          <w:szCs w:val="24"/>
        </w:rPr>
      </w:pPr>
      <w:r>
        <w:rPr>
          <w:rFonts w:cs="Arial"/>
          <w:b/>
          <w:bCs/>
          <w:sz w:val="24"/>
          <w:szCs w:val="24"/>
          <w:lang w:val="el-GR"/>
        </w:rPr>
        <w:t>4.2.4</w:t>
      </w:r>
      <w:r>
        <w:rPr>
          <w:rFonts w:cs="Arial"/>
          <w:sz w:val="24"/>
          <w:szCs w:val="24"/>
          <w:lang w:val="el-GR"/>
        </w:rPr>
        <w:t xml:space="preserve"> Κλωστή κατασκευής διακριτικών ΕΠ.ΟΠ, Ν/Δ καθώς και ειδικοτήτων και τεχνών </w:t>
      </w:r>
      <w:r>
        <w:rPr>
          <w:rFonts w:cs="Arial"/>
          <w:b w:val="false"/>
          <w:bCs w:val="false"/>
          <w:sz w:val="24"/>
          <w:szCs w:val="24"/>
          <w:lang w:val="el-GR"/>
        </w:rPr>
        <w:t xml:space="preserve">όλων των κατηγοριών (Υπαξ/κων, ΕΠ.ΟΠ &amp; Ν/Δ) </w:t>
      </w:r>
    </w:p>
    <w:p>
      <w:pPr>
        <w:pStyle w:val="Normal"/>
        <w:rPr>
          <w:b/>
          <w:sz w:val="24"/>
          <w:szCs w:val="24"/>
        </w:rPr>
      </w:pPr>
      <w:r>
        <w:rPr>
          <w:b/>
          <w:sz w:val="24"/>
          <w:szCs w:val="24"/>
        </w:rPr>
        <w:t>4.2.4.1</w:t>
      </w:r>
      <w:r>
        <w:rPr>
          <w:sz w:val="24"/>
          <w:szCs w:val="24"/>
        </w:rPr>
        <w:t xml:space="preserve"> Σύνθεση, </w:t>
      </w:r>
      <w:r>
        <w:rPr>
          <w:rFonts w:cs="Arial"/>
          <w:sz w:val="24"/>
          <w:szCs w:val="24"/>
        </w:rPr>
        <w:t xml:space="preserve">κατά ΕΝ </w:t>
      </w:r>
      <w:r>
        <w:rPr>
          <w:rFonts w:cs="Arial"/>
          <w:sz w:val="24"/>
          <w:szCs w:val="24"/>
          <w:lang w:val="en-US"/>
        </w:rPr>
        <w:t>ISO</w:t>
      </w:r>
      <w:r>
        <w:rPr>
          <w:rFonts w:cs="Arial"/>
          <w:sz w:val="24"/>
          <w:szCs w:val="24"/>
        </w:rPr>
        <w:t xml:space="preserve"> 1833-1 και ΕΝ </w:t>
      </w:r>
      <w:r>
        <w:rPr>
          <w:rFonts w:cs="Arial"/>
          <w:sz w:val="24"/>
          <w:szCs w:val="24"/>
          <w:lang w:val="en-US"/>
        </w:rPr>
        <w:t>ISO</w:t>
      </w:r>
      <w:r>
        <w:rPr>
          <w:rFonts w:cs="Arial"/>
          <w:sz w:val="24"/>
          <w:szCs w:val="24"/>
        </w:rPr>
        <w:t xml:space="preserve"> 1833-2 ή άλλο ισοδύναμο πρότυπο:</w:t>
      </w:r>
    </w:p>
    <w:p>
      <w:pPr>
        <w:pStyle w:val="Normal"/>
        <w:rPr>
          <w:b/>
          <w:sz w:val="24"/>
          <w:szCs w:val="24"/>
        </w:rPr>
      </w:pPr>
      <w:r>
        <w:rPr>
          <w:sz w:val="24"/>
          <w:szCs w:val="24"/>
        </w:rPr>
        <w:t>100% Πολυεστέρας  ή  100% Ραιγιόν βισκόζης.</w:t>
      </w:r>
    </w:p>
    <w:p>
      <w:pPr>
        <w:pStyle w:val="Normal"/>
        <w:rPr>
          <w:b/>
          <w:sz w:val="24"/>
          <w:szCs w:val="24"/>
        </w:rPr>
      </w:pPr>
      <w:r>
        <w:rPr>
          <w:b/>
          <w:sz w:val="24"/>
          <w:szCs w:val="24"/>
        </w:rPr>
        <w:t>4.2.4.2</w:t>
      </w:r>
      <w:r>
        <w:rPr>
          <w:sz w:val="24"/>
          <w:szCs w:val="24"/>
        </w:rPr>
        <w:t xml:space="preserve"> Τίτλος (κλωστής)</w:t>
      </w:r>
      <w:r>
        <w:rPr>
          <w:rFonts w:cs="Arial"/>
          <w:b/>
          <w:sz w:val="24"/>
          <w:szCs w:val="24"/>
        </w:rPr>
        <w:t xml:space="preserve"> </w:t>
      </w:r>
      <w:r>
        <w:rPr>
          <w:rFonts w:cs="Arial"/>
          <w:sz w:val="24"/>
          <w:szCs w:val="24"/>
        </w:rPr>
        <w:t xml:space="preserve">κατά </w:t>
      </w:r>
      <w:r>
        <w:rPr>
          <w:rFonts w:cs="Arial"/>
          <w:sz w:val="24"/>
          <w:szCs w:val="24"/>
          <w:lang w:val="en-US"/>
        </w:rPr>
        <w:t>ISO</w:t>
      </w:r>
      <w:r>
        <w:rPr>
          <w:rFonts w:cs="Arial"/>
          <w:sz w:val="24"/>
          <w:szCs w:val="24"/>
        </w:rPr>
        <w:t xml:space="preserve"> 7211-5 ή άλλο ισοδύναμο πρότυπο: </w:t>
      </w:r>
      <w:r>
        <w:rPr>
          <w:sz w:val="24"/>
          <w:szCs w:val="24"/>
        </w:rPr>
        <w:t xml:space="preserve">120 </w:t>
      </w:r>
      <w:r>
        <w:rPr>
          <w:sz w:val="24"/>
          <w:szCs w:val="24"/>
          <w:lang w:val="en-US"/>
        </w:rPr>
        <w:t>Denier.</w:t>
      </w:r>
    </w:p>
    <w:p>
      <w:pPr>
        <w:pStyle w:val="Normal"/>
        <w:rPr>
          <w:b/>
          <w:sz w:val="24"/>
          <w:szCs w:val="24"/>
        </w:rPr>
      </w:pPr>
      <w:r>
        <w:rPr>
          <w:b/>
          <w:sz w:val="24"/>
          <w:szCs w:val="24"/>
        </w:rPr>
        <w:t>4.2.4.</w:t>
      </w:r>
      <w:r>
        <w:rPr>
          <w:rFonts w:cs="Arial"/>
          <w:b/>
          <w:sz w:val="24"/>
          <w:szCs w:val="24"/>
        </w:rPr>
        <w:t>3</w:t>
      </w:r>
      <w:r>
        <w:rPr>
          <w:rFonts w:cs="Arial"/>
          <w:sz w:val="24"/>
          <w:szCs w:val="24"/>
        </w:rPr>
        <w:t xml:space="preserve"> Αντοχή χρωματισμού, [βαθμολογημένη σύμφωνα με την κλίμακα των Μπλε για την αντοχή χρωματισμού στο φως κατά ΕΝ </w:t>
      </w:r>
      <w:r>
        <w:rPr>
          <w:rFonts w:cs="Arial"/>
          <w:sz w:val="24"/>
          <w:szCs w:val="24"/>
          <w:lang w:val="en-US"/>
        </w:rPr>
        <w:t>ISO</w:t>
      </w:r>
      <w:r>
        <w:rPr>
          <w:rFonts w:cs="Arial"/>
          <w:sz w:val="24"/>
          <w:szCs w:val="24"/>
        </w:rPr>
        <w:t xml:space="preserve"> 105-</w:t>
      </w:r>
      <w:r>
        <w:rPr>
          <w:rFonts w:cs="Arial"/>
          <w:sz w:val="24"/>
          <w:szCs w:val="24"/>
          <w:lang w:val="en-US"/>
        </w:rPr>
        <w:t>B</w:t>
      </w:r>
      <w:r>
        <w:rPr>
          <w:rFonts w:cs="Arial"/>
          <w:sz w:val="24"/>
          <w:szCs w:val="24"/>
        </w:rPr>
        <w:t xml:space="preserve">01 και για τις λοιπές αντοχές σύμφωνα με την κλίμακα του Γκρι κατά ΕΝ </w:t>
      </w:r>
      <w:r>
        <w:rPr>
          <w:rFonts w:cs="Arial"/>
          <w:sz w:val="24"/>
          <w:szCs w:val="24"/>
          <w:lang w:val="en-US"/>
        </w:rPr>
        <w:t>ISO</w:t>
      </w:r>
      <w:r>
        <w:rPr>
          <w:rFonts w:cs="Arial"/>
          <w:sz w:val="24"/>
          <w:szCs w:val="24"/>
        </w:rPr>
        <w:t xml:space="preserve"> 105-</w:t>
      </w:r>
      <w:r>
        <w:rPr>
          <w:rFonts w:cs="Arial"/>
          <w:sz w:val="24"/>
          <w:szCs w:val="24"/>
          <w:lang w:val="en-US"/>
        </w:rPr>
        <w:t>A</w:t>
      </w:r>
      <w:r>
        <w:rPr>
          <w:rFonts w:cs="Arial"/>
          <w:sz w:val="24"/>
          <w:szCs w:val="24"/>
        </w:rPr>
        <w:t xml:space="preserve">01 και </w:t>
      </w:r>
      <w:r>
        <w:rPr>
          <w:rFonts w:cs="Arial"/>
          <w:sz w:val="24"/>
          <w:szCs w:val="24"/>
          <w:lang w:val="en-US"/>
        </w:rPr>
        <w:t>EN</w:t>
      </w:r>
      <w:r>
        <w:rPr>
          <w:rFonts w:cs="Arial"/>
          <w:sz w:val="24"/>
          <w:szCs w:val="24"/>
        </w:rPr>
        <w:t xml:space="preserve"> 20105-</w:t>
      </w:r>
      <w:r>
        <w:rPr>
          <w:rFonts w:cs="Arial"/>
          <w:sz w:val="24"/>
          <w:szCs w:val="24"/>
          <w:lang w:val="en-US"/>
        </w:rPr>
        <w:t>A</w:t>
      </w:r>
      <w:r>
        <w:rPr>
          <w:rFonts w:cs="Arial"/>
          <w:sz w:val="24"/>
          <w:szCs w:val="24"/>
        </w:rPr>
        <w:t>02:</w:t>
      </w:r>
    </w:p>
    <w:p>
      <w:pPr>
        <w:pStyle w:val="Normal"/>
        <w:rPr>
          <w:rFonts w:cs="Arial"/>
          <w:b/>
          <w:sz w:val="24"/>
          <w:szCs w:val="24"/>
        </w:rPr>
      </w:pPr>
      <w:r>
        <w:rPr>
          <w:rFonts w:cs="Arial"/>
          <w:b/>
          <w:sz w:val="24"/>
          <w:szCs w:val="24"/>
        </w:rPr>
        <w:t>4.2.4.3.1</w:t>
      </w:r>
      <w:r>
        <w:rPr>
          <w:rFonts w:cs="Arial"/>
          <w:sz w:val="24"/>
          <w:szCs w:val="24"/>
        </w:rPr>
        <w:t xml:space="preserve"> Στη ξηρή τριβή, κατά </w:t>
      </w:r>
      <w:r>
        <w:rPr>
          <w:rFonts w:cs="Arial"/>
          <w:sz w:val="24"/>
          <w:szCs w:val="24"/>
          <w:lang w:val="en-US"/>
        </w:rPr>
        <w:t>EN</w:t>
      </w:r>
      <w:r>
        <w:rPr>
          <w:rFonts w:cs="Arial"/>
          <w:sz w:val="24"/>
          <w:szCs w:val="24"/>
        </w:rPr>
        <w:t xml:space="preserve"> </w:t>
      </w:r>
      <w:r>
        <w:rPr>
          <w:rFonts w:cs="Arial"/>
          <w:sz w:val="24"/>
          <w:szCs w:val="24"/>
          <w:lang w:val="en-US"/>
        </w:rPr>
        <w:t>ISO</w:t>
      </w:r>
      <w:r>
        <w:rPr>
          <w:rFonts w:cs="Arial"/>
          <w:sz w:val="24"/>
          <w:szCs w:val="24"/>
        </w:rPr>
        <w:t xml:space="preserve"> 105-</w:t>
      </w:r>
      <w:r>
        <w:rPr>
          <w:rFonts w:cs="Arial"/>
          <w:sz w:val="24"/>
          <w:szCs w:val="24"/>
          <w:lang w:val="en-US"/>
        </w:rPr>
        <w:t>X</w:t>
      </w:r>
      <w:r>
        <w:rPr>
          <w:rFonts w:cs="Arial"/>
          <w:sz w:val="24"/>
          <w:szCs w:val="24"/>
        </w:rPr>
        <w:t xml:space="preserve">12 ή ισοδύναμο πρότυπο: </w:t>
        <w:tab/>
        <w:t>βαθμός 4-5.</w:t>
      </w:r>
    </w:p>
    <w:p>
      <w:pPr>
        <w:pStyle w:val="Normal"/>
        <w:rPr>
          <w:rFonts w:cs="Arial"/>
          <w:b/>
          <w:sz w:val="24"/>
          <w:szCs w:val="24"/>
        </w:rPr>
      </w:pPr>
      <w:r>
        <w:rPr>
          <w:rFonts w:cs="Arial"/>
          <w:b/>
          <w:sz w:val="24"/>
          <w:szCs w:val="24"/>
        </w:rPr>
        <w:t xml:space="preserve">4.2.4.3.2 </w:t>
      </w:r>
      <w:r>
        <w:rPr>
          <w:rFonts w:cs="Arial"/>
          <w:sz w:val="24"/>
          <w:szCs w:val="24"/>
        </w:rPr>
        <w:t xml:space="preserve">Στην υγρή τριβή, κατά </w:t>
      </w:r>
      <w:r>
        <w:rPr>
          <w:rFonts w:cs="Arial"/>
          <w:sz w:val="24"/>
          <w:szCs w:val="24"/>
          <w:lang w:val="en-US"/>
        </w:rPr>
        <w:t>EN</w:t>
      </w:r>
      <w:r>
        <w:rPr>
          <w:rFonts w:cs="Arial"/>
          <w:sz w:val="24"/>
          <w:szCs w:val="24"/>
        </w:rPr>
        <w:t xml:space="preserve"> </w:t>
      </w:r>
      <w:r>
        <w:rPr>
          <w:rFonts w:cs="Arial"/>
          <w:sz w:val="24"/>
          <w:szCs w:val="24"/>
          <w:lang w:val="en-US"/>
        </w:rPr>
        <w:t>ISO</w:t>
      </w:r>
      <w:r>
        <w:rPr>
          <w:rFonts w:cs="Arial"/>
          <w:sz w:val="24"/>
          <w:szCs w:val="24"/>
        </w:rPr>
        <w:t xml:space="preserve"> 105-</w:t>
      </w:r>
      <w:r>
        <w:rPr>
          <w:rFonts w:cs="Arial"/>
          <w:sz w:val="24"/>
          <w:szCs w:val="24"/>
          <w:lang w:val="en-US"/>
        </w:rPr>
        <w:t>X</w:t>
      </w:r>
      <w:r>
        <w:rPr>
          <w:rFonts w:cs="Arial"/>
          <w:sz w:val="24"/>
          <w:szCs w:val="24"/>
        </w:rPr>
        <w:t xml:space="preserve">12 ή ισοδύναμο πρότυπο: </w:t>
        <w:tab/>
        <w:t>βαθμός 4.</w:t>
      </w:r>
    </w:p>
    <w:p>
      <w:pPr>
        <w:pStyle w:val="Normal"/>
        <w:rPr>
          <w:rFonts w:cs="Arial"/>
          <w:b/>
          <w:sz w:val="24"/>
          <w:szCs w:val="24"/>
        </w:rPr>
      </w:pPr>
      <w:r>
        <w:rPr>
          <w:rFonts w:cs="Arial"/>
          <w:b/>
          <w:sz w:val="24"/>
          <w:szCs w:val="24"/>
        </w:rPr>
        <w:t>4.2.4.3.3</w:t>
      </w:r>
      <w:r>
        <w:rPr>
          <w:rFonts w:cs="Arial"/>
          <w:sz w:val="24"/>
          <w:szCs w:val="24"/>
        </w:rPr>
        <w:t xml:space="preserve"> Στο στεγνό καθάρισμα, κατά </w:t>
      </w:r>
      <w:r>
        <w:rPr>
          <w:rFonts w:cs="Arial"/>
          <w:sz w:val="24"/>
          <w:szCs w:val="24"/>
          <w:lang w:val="en-US"/>
        </w:rPr>
        <w:t>EN</w:t>
      </w:r>
      <w:r>
        <w:rPr>
          <w:rFonts w:cs="Arial"/>
          <w:sz w:val="24"/>
          <w:szCs w:val="24"/>
        </w:rPr>
        <w:t xml:space="preserve"> </w:t>
      </w:r>
      <w:r>
        <w:rPr>
          <w:rFonts w:cs="Arial"/>
          <w:sz w:val="24"/>
          <w:szCs w:val="24"/>
          <w:lang w:val="en-US"/>
        </w:rPr>
        <w:t>ISO</w:t>
      </w:r>
      <w:r>
        <w:rPr>
          <w:rFonts w:cs="Arial"/>
          <w:sz w:val="24"/>
          <w:szCs w:val="24"/>
        </w:rPr>
        <w:t xml:space="preserve"> 105-</w:t>
      </w:r>
      <w:r>
        <w:rPr>
          <w:rFonts w:cs="Arial"/>
          <w:sz w:val="24"/>
          <w:szCs w:val="24"/>
          <w:lang w:val="en-US"/>
        </w:rPr>
        <w:t>D</w:t>
      </w:r>
      <w:r>
        <w:rPr>
          <w:rFonts w:cs="Arial"/>
          <w:sz w:val="24"/>
          <w:szCs w:val="24"/>
        </w:rPr>
        <w:t>01 ή ισοδύναμο πρότυπο: βαθμός 4.</w:t>
      </w:r>
    </w:p>
    <w:p>
      <w:pPr>
        <w:pStyle w:val="Normal"/>
        <w:rPr>
          <w:rFonts w:cs="Arial"/>
          <w:b/>
          <w:bCs w:val="false"/>
          <w:sz w:val="24"/>
          <w:szCs w:val="24"/>
          <w:lang w:val="el-GR"/>
        </w:rPr>
      </w:pPr>
      <w:r>
        <w:rPr>
          <w:rFonts w:cs="Arial"/>
          <w:b/>
          <w:sz w:val="24"/>
          <w:szCs w:val="24"/>
        </w:rPr>
        <w:t>4.2.4.3.4</w:t>
      </w:r>
      <w:r>
        <w:rPr>
          <w:rFonts w:cs="Arial"/>
          <w:sz w:val="24"/>
          <w:szCs w:val="24"/>
        </w:rPr>
        <w:t xml:space="preserve"> Στ</w:t>
      </w:r>
      <w:r>
        <w:rPr>
          <w:rFonts w:cs="Arial"/>
          <w:sz w:val="24"/>
          <w:szCs w:val="24"/>
          <w:lang w:val="en-US"/>
        </w:rPr>
        <w:t>o</w:t>
      </w:r>
      <w:r>
        <w:rPr>
          <w:rFonts w:cs="Arial"/>
          <w:sz w:val="24"/>
          <w:szCs w:val="24"/>
        </w:rPr>
        <w:t xml:space="preserve"> οικιακό πλύσιμο στη βαθμίδα </w:t>
      </w:r>
      <w:r>
        <w:rPr>
          <w:rFonts w:cs="Arial"/>
          <w:sz w:val="24"/>
          <w:szCs w:val="24"/>
          <w:lang w:val="en-US"/>
        </w:rPr>
        <w:t>C</w:t>
      </w:r>
      <w:r>
        <w:rPr>
          <w:rFonts w:cs="Arial"/>
          <w:sz w:val="24"/>
          <w:szCs w:val="24"/>
        </w:rPr>
        <w:t>1</w:t>
      </w:r>
      <w:r>
        <w:rPr>
          <w:rFonts w:cs="Arial"/>
          <w:sz w:val="24"/>
          <w:szCs w:val="24"/>
          <w:lang w:val="en-US"/>
        </w:rPr>
        <w:t>S</w:t>
      </w:r>
      <w:r>
        <w:rPr>
          <w:rFonts w:cs="Arial"/>
          <w:sz w:val="24"/>
          <w:szCs w:val="24"/>
        </w:rPr>
        <w:t xml:space="preserve">, κατά </w:t>
      </w:r>
      <w:r>
        <w:rPr>
          <w:rFonts w:cs="Arial"/>
          <w:sz w:val="24"/>
          <w:szCs w:val="24"/>
          <w:lang w:val="en-US"/>
        </w:rPr>
        <w:t>EN</w:t>
      </w:r>
      <w:r>
        <w:rPr>
          <w:rFonts w:cs="Arial"/>
          <w:sz w:val="24"/>
          <w:szCs w:val="24"/>
        </w:rPr>
        <w:t xml:space="preserve"> </w:t>
      </w:r>
      <w:r>
        <w:rPr>
          <w:rFonts w:cs="Arial"/>
          <w:sz w:val="24"/>
          <w:szCs w:val="24"/>
          <w:lang w:val="en-US"/>
        </w:rPr>
        <w:t>ISO</w:t>
      </w:r>
      <w:r>
        <w:rPr>
          <w:rFonts w:cs="Arial"/>
          <w:sz w:val="24"/>
          <w:szCs w:val="24"/>
        </w:rPr>
        <w:t xml:space="preserve"> 105-</w:t>
      </w:r>
      <w:r>
        <w:rPr>
          <w:rFonts w:cs="Arial"/>
          <w:sz w:val="24"/>
          <w:szCs w:val="24"/>
          <w:lang w:val="en-US"/>
        </w:rPr>
        <w:t>C</w:t>
      </w:r>
      <w:r>
        <w:rPr>
          <w:rFonts w:cs="Arial"/>
          <w:sz w:val="24"/>
          <w:szCs w:val="24"/>
        </w:rPr>
        <w:t xml:space="preserve">06 ή σε αντίστοιχη βαθμίδα ισοδύναμου προτύπου: </w:t>
        <w:tab/>
        <w:tab/>
        <w:tab/>
        <w:tab/>
        <w:tab/>
        <w:tab/>
        <w:tab/>
        <w:t>βαθμός 4-5.</w:t>
      </w:r>
    </w:p>
    <w:p>
      <w:pPr>
        <w:pStyle w:val="Normal"/>
        <w:rPr>
          <w:sz w:val="24"/>
          <w:szCs w:val="24"/>
          <w:lang w:val="el-GR"/>
        </w:rPr>
      </w:pPr>
      <w:r>
        <w:rPr>
          <w:rFonts w:cs="Arial"/>
          <w:b/>
          <w:bCs w:val="false"/>
          <w:sz w:val="24"/>
          <w:szCs w:val="24"/>
          <w:lang w:val="el-GR"/>
        </w:rPr>
        <w:t>4.2.4.3.5</w:t>
      </w:r>
      <w:r>
        <w:rPr>
          <w:rFonts w:cs="Arial"/>
          <w:b w:val="false"/>
          <w:bCs w:val="false"/>
          <w:sz w:val="24"/>
          <w:szCs w:val="24"/>
          <w:lang w:val="el-GR"/>
        </w:rPr>
        <w:t xml:space="preserve"> Στο ηλιακό φως, κατά ΕΝ </w:t>
      </w:r>
      <w:r>
        <w:rPr>
          <w:rFonts w:cs="Arial"/>
          <w:b w:val="false"/>
          <w:bCs w:val="false"/>
          <w:sz w:val="24"/>
          <w:szCs w:val="24"/>
          <w:lang w:val="en-US"/>
        </w:rPr>
        <w:t>ISO</w:t>
      </w:r>
      <w:r>
        <w:rPr>
          <w:rFonts w:cs="Arial"/>
          <w:b w:val="false"/>
          <w:bCs w:val="false"/>
          <w:sz w:val="24"/>
          <w:szCs w:val="24"/>
          <w:lang w:val="el-GR"/>
        </w:rPr>
        <w:t xml:space="preserve"> 105-</w:t>
      </w:r>
      <w:r>
        <w:rPr>
          <w:rFonts w:cs="Arial"/>
          <w:b w:val="false"/>
          <w:bCs w:val="false"/>
          <w:sz w:val="24"/>
          <w:szCs w:val="24"/>
          <w:lang w:val="en-US"/>
        </w:rPr>
        <w:t>B</w:t>
      </w:r>
      <w:r>
        <w:rPr>
          <w:rFonts w:cs="Arial"/>
          <w:b w:val="false"/>
          <w:bCs w:val="false"/>
          <w:sz w:val="24"/>
          <w:szCs w:val="24"/>
          <w:lang w:val="el-GR"/>
        </w:rPr>
        <w:t xml:space="preserve">01 ή ισοδύναμο πρότυπο ή φωτισμός λυχνίας </w:t>
      </w:r>
      <w:r>
        <w:rPr>
          <w:rFonts w:cs="Arial"/>
          <w:b w:val="false"/>
          <w:bCs w:val="false"/>
          <w:sz w:val="24"/>
          <w:szCs w:val="24"/>
          <w:lang w:val="en-US"/>
        </w:rPr>
        <w:t>Xenon</w:t>
      </w:r>
      <w:r>
        <w:rPr>
          <w:rFonts w:cs="Arial"/>
          <w:b w:val="false"/>
          <w:bCs w:val="false"/>
          <w:sz w:val="24"/>
          <w:szCs w:val="24"/>
          <w:lang w:val="el-GR"/>
        </w:rPr>
        <w:t xml:space="preserve">, κατά </w:t>
      </w:r>
      <w:r>
        <w:rPr>
          <w:rFonts w:cs="Arial"/>
          <w:b w:val="false"/>
          <w:bCs w:val="false"/>
          <w:sz w:val="24"/>
          <w:szCs w:val="24"/>
          <w:lang w:val="en-US"/>
        </w:rPr>
        <w:t>EN</w:t>
      </w:r>
      <w:r>
        <w:rPr>
          <w:rFonts w:cs="Arial"/>
          <w:b w:val="false"/>
          <w:bCs w:val="false"/>
          <w:sz w:val="24"/>
          <w:szCs w:val="24"/>
          <w:lang w:val="el-GR"/>
        </w:rPr>
        <w:t xml:space="preserve"> </w:t>
      </w:r>
      <w:r>
        <w:rPr>
          <w:rFonts w:cs="Arial"/>
          <w:b w:val="false"/>
          <w:bCs w:val="false"/>
          <w:sz w:val="24"/>
          <w:szCs w:val="24"/>
          <w:lang w:val="en-US"/>
        </w:rPr>
        <w:t>ISO</w:t>
      </w:r>
      <w:r>
        <w:rPr>
          <w:rFonts w:cs="Arial"/>
          <w:b w:val="false"/>
          <w:bCs w:val="false"/>
          <w:sz w:val="24"/>
          <w:szCs w:val="24"/>
          <w:lang w:val="el-GR"/>
        </w:rPr>
        <w:t xml:space="preserve"> 105-Β02 ή ισοδύναμο πρότυπο: </w:t>
        <w:tab/>
        <w:tab/>
        <w:t>βαθμός 5.</w:t>
      </w:r>
    </w:p>
    <w:p>
      <w:pPr>
        <w:pStyle w:val="Normal"/>
        <w:rPr>
          <w:b/>
          <w:bCs/>
        </w:rPr>
      </w:pPr>
      <w:r>
        <w:rPr>
          <w:rFonts w:cs="Arial"/>
          <w:b/>
          <w:bCs/>
          <w:sz w:val="24"/>
          <w:szCs w:val="24"/>
          <w:lang w:val="el-GR"/>
        </w:rPr>
        <w:t>4.2.4.4</w:t>
      </w:r>
      <w:r>
        <w:rPr>
          <w:rFonts w:cs="Arial"/>
          <w:b w:val="false"/>
          <w:bCs w:val="false"/>
          <w:sz w:val="24"/>
          <w:szCs w:val="24"/>
          <w:lang w:val="el-GR"/>
        </w:rPr>
        <w:t xml:space="preserve"> Απόχρωση</w:t>
      </w:r>
    </w:p>
    <w:p>
      <w:pPr>
        <w:pStyle w:val="Normal"/>
        <w:rPr>
          <w:b/>
          <w:bCs/>
        </w:rPr>
      </w:pPr>
      <w:r>
        <w:rPr>
          <w:rFonts w:cs="Arial"/>
          <w:b/>
          <w:bCs/>
          <w:sz w:val="24"/>
          <w:szCs w:val="24"/>
          <w:lang w:val="el-GR"/>
        </w:rPr>
        <w:t>4.2.4.4.1</w:t>
      </w:r>
      <w:r>
        <w:rPr>
          <w:rFonts w:cs="Arial"/>
          <w:b w:val="false"/>
          <w:bCs w:val="false"/>
          <w:sz w:val="24"/>
          <w:szCs w:val="24"/>
          <w:lang w:val="el-GR"/>
        </w:rPr>
        <w:t xml:space="preserve"> Υπαξιωματικών:  Κίτρινη (χρυσή) γυαλιστερή (όχι ματ).</w:t>
      </w:r>
    </w:p>
    <w:p>
      <w:pPr>
        <w:pStyle w:val="Normal"/>
        <w:rPr>
          <w:b/>
          <w:bCs/>
        </w:rPr>
      </w:pPr>
      <w:r>
        <w:rPr>
          <w:rFonts w:cs="Arial"/>
          <w:b/>
          <w:bCs/>
          <w:sz w:val="24"/>
          <w:szCs w:val="24"/>
          <w:lang w:val="el-GR"/>
        </w:rPr>
        <w:t>4.2.4.4.2</w:t>
      </w:r>
      <w:r>
        <w:rPr>
          <w:rFonts w:cs="Arial"/>
          <w:b w:val="false"/>
          <w:bCs w:val="false"/>
          <w:sz w:val="24"/>
          <w:szCs w:val="24"/>
          <w:lang w:val="el-GR"/>
        </w:rPr>
        <w:t xml:space="preserve"> ΕΠ.ΟΠ και Ν/Δ: Κόκκινη γυαλιστερή και Μαύρη γυαλιστερή (όχι ματ).</w:t>
      </w:r>
    </w:p>
    <w:p>
      <w:pPr>
        <w:pStyle w:val="Normal"/>
        <w:rPr>
          <w:b/>
          <w:bCs/>
        </w:rPr>
      </w:pPr>
      <w:r>
        <w:rPr>
          <w:rFonts w:cs="Arial"/>
          <w:b/>
          <w:bCs/>
          <w:sz w:val="24"/>
          <w:szCs w:val="24"/>
          <w:u w:val="single"/>
          <w:lang w:val="el-GR"/>
        </w:rPr>
        <w:t>Σημείωση:</w:t>
      </w:r>
      <w:r>
        <w:rPr>
          <w:rFonts w:cs="Arial"/>
          <w:b w:val="false"/>
          <w:bCs w:val="false"/>
          <w:sz w:val="24"/>
          <w:szCs w:val="24"/>
          <w:lang w:val="el-GR"/>
        </w:rPr>
        <w:t xml:space="preserve"> Για τα διακριτικά της ειδικότητας του «Βοηθού Νοσηλευτικής» και «Φυσιοθεραπευτή» των Υπαξιωματικών θα χρησιμοποιείται παρόμοια κλωστή σύνθεσης και ιδιοτήτων με των ΕΠ.ΟΠ και Ν/Δ, αλλά κόκκινης και μαύρης γυαλιστερής απόχρωσης αντίστοιχα (όπως απεικονίζονται και στην Εικόνα </w:t>
      </w:r>
      <w:r>
        <w:rPr>
          <w:rFonts w:cs="Arial"/>
          <w:b w:val="false"/>
          <w:bCs w:val="false"/>
          <w:sz w:val="24"/>
          <w:szCs w:val="24"/>
          <w:lang w:val="en-US"/>
        </w:rPr>
        <w:t>VII</w:t>
      </w:r>
      <w:r>
        <w:rPr>
          <w:rFonts w:cs="Arial"/>
          <w:b w:val="false"/>
          <w:bCs w:val="false"/>
          <w:sz w:val="24"/>
          <w:szCs w:val="24"/>
          <w:lang w:val="el-GR"/>
        </w:rPr>
        <w:t xml:space="preserve"> ανωτέρω § 4.2.1).</w:t>
      </w:r>
    </w:p>
    <w:p>
      <w:pPr>
        <w:pStyle w:val="Normal"/>
        <w:rPr>
          <w:sz w:val="24"/>
          <w:szCs w:val="24"/>
          <w:lang w:val="el-GR"/>
        </w:rPr>
      </w:pPr>
      <w:r>
        <w:rPr>
          <w:sz w:val="24"/>
          <w:szCs w:val="24"/>
          <w:lang w:val="el-GR"/>
        </w:rPr>
      </w:r>
    </w:p>
    <w:p>
      <w:pPr>
        <w:pStyle w:val="Normal"/>
        <w:rPr>
          <w:b/>
          <w:bCs w:val="false"/>
          <w:sz w:val="24"/>
          <w:szCs w:val="24"/>
          <w:lang w:val="el-GR"/>
        </w:rPr>
      </w:pPr>
      <w:r>
        <w:rPr>
          <w:b/>
          <w:sz w:val="24"/>
          <w:szCs w:val="24"/>
          <w:lang w:val="el-GR"/>
        </w:rPr>
        <w:t xml:space="preserve">4.3 </w:t>
      </w:r>
      <w:r>
        <w:rPr>
          <w:b/>
          <w:bCs/>
          <w:sz w:val="24"/>
          <w:szCs w:val="24"/>
          <w:lang w:val="el-GR"/>
        </w:rPr>
        <w:t>Σχεδίαση - Κατασκευή</w:t>
      </w:r>
    </w:p>
    <w:p>
      <w:pPr>
        <w:pStyle w:val="Normal"/>
        <w:rPr/>
      </w:pPr>
      <w:r>
        <w:rPr>
          <w:b/>
          <w:bCs w:val="false"/>
          <w:sz w:val="24"/>
          <w:szCs w:val="24"/>
          <w:lang w:val="el-GR"/>
        </w:rPr>
        <w:t>4.3.1 Γενικά</w:t>
      </w:r>
    </w:p>
    <w:p>
      <w:pPr>
        <w:pStyle w:val="Normal"/>
        <w:rPr/>
      </w:pPr>
      <w:r>
        <w:rPr>
          <w:b/>
          <w:bCs/>
          <w:sz w:val="24"/>
          <w:szCs w:val="24"/>
          <w:lang w:val="el-GR"/>
        </w:rPr>
        <w:t>4.3.1.1</w:t>
      </w:r>
      <w:r>
        <w:rPr>
          <w:b w:val="false"/>
          <w:bCs w:val="false"/>
          <w:sz w:val="24"/>
          <w:szCs w:val="24"/>
          <w:lang w:val="el-GR"/>
        </w:rPr>
        <w:t xml:space="preserve"> Το περαστό διακριτικό των Υπαξιωματικών, ΕΠ.ΟΠ και των Ν/Δ έχει σχήμα πεπλατυσμένου κυλίνδρου. Η άνω και κάτω πλευρά του είναι ανοιχτή (έχει οπή) για να διέρχεται στο εξωτερικό κάθετο πτερύγιο που υπάρχει στο μπουφάν και τη στολή υπ' αριθμόν 9 ασκήσεως - εκστρατείας.</w:t>
      </w:r>
    </w:p>
    <w:p>
      <w:pPr>
        <w:pStyle w:val="Normal"/>
        <w:rPr>
          <w:b w:val="false"/>
          <w:bCs w:val="false"/>
          <w:sz w:val="24"/>
          <w:szCs w:val="24"/>
          <w:lang w:val="el-GR"/>
        </w:rPr>
      </w:pPr>
      <w:r>
        <w:rPr>
          <w:b/>
          <w:bCs/>
          <w:sz w:val="24"/>
          <w:szCs w:val="24"/>
          <w:lang w:val="el-GR"/>
        </w:rPr>
        <w:t>4.3.1.2</w:t>
      </w:r>
      <w:r>
        <w:rPr>
          <w:b w:val="false"/>
          <w:bCs w:val="false"/>
          <w:sz w:val="24"/>
          <w:szCs w:val="24"/>
          <w:lang w:val="el-GR"/>
        </w:rPr>
        <w:t xml:space="preserve"> Η μορφή του περαστού διακριτικού σχηματίζεται από την ύπαρξη εσωτερικού κατάλληλου θερμοκολλητικού συνθετικού υλικού ή άλλου υφάνσιμου υλικού (πχ. φορτέτσα ή καναβάτσο) το οποίο μορφοποιείται κατάλληλα και επενδύεται (περιβάλλεται) εξωτερικά από το μαύρο ύφασμα τσόχας της § 4.2.3, πάνω στο οποίο είτε ράβεται το επίχρυσο γαλόνι (σειρίτι) της § 4.2.2 για τους υπαξιωματικούς, είτε κεντάται η κόκκινη κλωστή            § 4.2.4.4.2 για τους ΕΠ.ΟΠ και τους Ν/Δ αντίστοιχα.</w:t>
      </w:r>
    </w:p>
    <w:p>
      <w:pPr>
        <w:pStyle w:val="Normal"/>
        <w:rPr>
          <w:b w:val="false"/>
          <w:bCs w:val="false"/>
          <w:lang w:val="el-GR"/>
        </w:rPr>
      </w:pPr>
      <w:r>
        <w:rPr>
          <w:b/>
          <w:bCs/>
          <w:sz w:val="24"/>
          <w:szCs w:val="24"/>
          <w:lang w:val="el-GR"/>
        </w:rPr>
        <w:t>4.3.1.3</w:t>
      </w:r>
      <w:r>
        <w:rPr>
          <w:b w:val="false"/>
          <w:bCs w:val="false"/>
          <w:sz w:val="24"/>
          <w:szCs w:val="24"/>
          <w:lang w:val="el-GR"/>
        </w:rPr>
        <w:t xml:space="preserve"> Το ύψος του περαστού διακριτικού για όλες τις κατηγορίες θα είναι 115 ± 2 </w:t>
      </w:r>
      <w:r>
        <w:rPr>
          <w:b w:val="false"/>
          <w:bCs w:val="false"/>
          <w:sz w:val="24"/>
          <w:szCs w:val="24"/>
          <w:lang w:val="en-US"/>
        </w:rPr>
        <w:t xml:space="preserve">mm. </w:t>
      </w:r>
      <w:r>
        <w:rPr>
          <w:b w:val="false"/>
          <w:bCs w:val="false"/>
          <w:sz w:val="24"/>
          <w:szCs w:val="24"/>
          <w:lang w:val="el-GR"/>
        </w:rPr>
        <w:t>Το (εξωτερικό) πλάτος του περαστού διακριτικού είναι 60 ± 1 mm. Το δε «ωφέλιμο» εσωτερικό άνοιγμά του είναι 50 - 55  mm.</w:t>
      </w:r>
    </w:p>
    <w:p>
      <w:pPr>
        <w:pStyle w:val="Normal"/>
        <w:rPr>
          <w:b w:val="false"/>
          <w:bCs w:val="false"/>
          <w:lang w:val="el-GR"/>
        </w:rPr>
      </w:pPr>
      <w:r>
        <w:rPr>
          <w:b w:val="false"/>
          <w:bCs w:val="false"/>
          <w:lang w:val="el-GR"/>
        </w:rPr>
      </w:r>
    </w:p>
    <w:p>
      <w:pPr>
        <w:pStyle w:val="Normal"/>
        <w:rPr>
          <w:b/>
          <w:bCs/>
          <w:sz w:val="24"/>
          <w:szCs w:val="24"/>
          <w:lang w:val="el-GR"/>
        </w:rPr>
      </w:pPr>
      <w:r>
        <w:rPr>
          <w:b/>
          <w:bCs/>
          <w:sz w:val="24"/>
          <w:szCs w:val="24"/>
          <w:lang w:val="el-GR"/>
        </w:rPr>
        <w:t>4.3.2 Διακριτικό βαθμών Υπαξιωματικών</w:t>
      </w:r>
    </w:p>
    <w:p>
      <w:pPr>
        <w:pStyle w:val="Normal"/>
        <w:rPr>
          <w:bCs/>
          <w:lang w:val="el-GR"/>
        </w:rPr>
      </w:pPr>
      <w:r>
        <w:rPr>
          <w:b/>
          <w:bCs/>
          <w:sz w:val="24"/>
          <w:szCs w:val="24"/>
          <w:lang w:val="el-GR"/>
        </w:rPr>
        <w:t>4.3.2.1</w:t>
      </w:r>
      <w:r>
        <w:rPr>
          <w:bCs/>
          <w:sz w:val="24"/>
          <w:szCs w:val="24"/>
          <w:lang w:val="el-GR"/>
        </w:rPr>
        <w:t xml:space="preserve"> Υπαξιωματικών Αποφοίτων ΣΜΥΝ</w:t>
      </w:r>
    </w:p>
    <w:p>
      <w:pPr>
        <w:pStyle w:val="Normal"/>
        <w:rPr>
          <w:sz w:val="24"/>
          <w:szCs w:val="24"/>
        </w:rPr>
      </w:pPr>
      <w:r>
        <w:rPr>
          <w:bCs/>
          <w:sz w:val="24"/>
          <w:szCs w:val="24"/>
          <w:lang w:val="el-GR"/>
        </w:rPr>
        <w:t>Με το γαλόνι της § 4.2.2 κατασκευάζονται δύο (2) σειρίδες (σειρές - ταινίες) (για τους κελευστές) τρείς (3) (για τους επικελευστές) και τέσσερις (4) σειρίδες (για τους αρχικελευστές) αντίστοιχα σε μορφή «</w:t>
      </w:r>
      <w:r>
        <w:rPr>
          <w:b/>
          <w:bCs/>
          <w:sz w:val="24"/>
          <w:szCs w:val="24"/>
          <w:lang w:val="el-GR"/>
        </w:rPr>
        <w:t>V</w:t>
      </w:r>
      <w:r>
        <w:rPr>
          <w:bCs/>
          <w:sz w:val="24"/>
          <w:szCs w:val="24"/>
          <w:lang w:val="el-GR"/>
        </w:rPr>
        <w:t>» με γωνία περίπου 115 - 120</w:t>
      </w:r>
      <w:r>
        <w:rPr>
          <w:bCs/>
          <w:sz w:val="24"/>
          <w:szCs w:val="24"/>
          <w:vertAlign w:val="superscript"/>
          <w:lang w:val="el-GR"/>
        </w:rPr>
        <w:t>0</w:t>
      </w:r>
      <w:r>
        <w:rPr>
          <w:bCs/>
          <w:sz w:val="24"/>
          <w:szCs w:val="24"/>
          <w:lang w:val="el-GR"/>
        </w:rPr>
        <w:t xml:space="preserve"> οι οποίες ράβονται με την γωνία αυτών να «κοιτάει» προς τα κάτω στο ύφασμα της § 4.2.3. Η απόσταση μεταξύ των εν λόγω σειρίδων είναι περίπου </w:t>
      </w:r>
      <w:r>
        <w:rPr>
          <w:bCs/>
          <w:sz w:val="24"/>
          <w:szCs w:val="24"/>
          <w:lang w:val="en-US"/>
        </w:rPr>
        <w:t>2</w:t>
      </w:r>
      <w:r>
        <w:rPr>
          <w:bCs/>
          <w:sz w:val="24"/>
          <w:szCs w:val="24"/>
          <w:lang w:val="el-GR"/>
        </w:rPr>
        <w:t xml:space="preserve"> </w:t>
      </w:r>
      <w:r>
        <w:rPr>
          <w:bCs/>
          <w:sz w:val="24"/>
          <w:szCs w:val="24"/>
          <w:lang w:val="en-US"/>
        </w:rPr>
        <w:t>mm.</w:t>
      </w:r>
    </w:p>
    <w:p>
      <w:pPr>
        <w:pStyle w:val="Normal"/>
        <w:rPr>
          <w:sz w:val="24"/>
          <w:szCs w:val="24"/>
        </w:rPr>
      </w:pPr>
      <w:r>
        <w:rPr>
          <w:b w:val="false"/>
          <w:bCs w:val="false"/>
          <w:sz w:val="24"/>
          <w:szCs w:val="24"/>
          <w:u w:val="none"/>
          <w:lang w:val="el-GR"/>
        </w:rPr>
        <w:t xml:space="preserve">Το μήκος της μίας πλευράς της γωνίας  είναι περίπου </w:t>
      </w:r>
      <w:r>
        <w:rPr>
          <w:b w:val="false"/>
          <w:bCs w:val="false"/>
          <w:sz w:val="24"/>
          <w:szCs w:val="24"/>
          <w:u w:val="none"/>
          <w:lang w:val="en-US"/>
        </w:rPr>
        <w:t>3,2</w:t>
      </w:r>
      <w:r>
        <w:rPr>
          <w:b w:val="false"/>
          <w:bCs w:val="false"/>
          <w:sz w:val="24"/>
          <w:szCs w:val="24"/>
          <w:u w:val="none"/>
          <w:lang w:val="el-GR"/>
        </w:rPr>
        <w:t xml:space="preserve"> - </w:t>
      </w:r>
      <w:r>
        <w:rPr>
          <w:b w:val="false"/>
          <w:bCs w:val="false"/>
          <w:sz w:val="24"/>
          <w:szCs w:val="24"/>
          <w:u w:val="none"/>
          <w:lang w:val="en-US"/>
        </w:rPr>
        <w:t>3,5</w:t>
      </w:r>
      <w:r>
        <w:rPr>
          <w:b w:val="false"/>
          <w:bCs w:val="false"/>
          <w:sz w:val="24"/>
          <w:szCs w:val="24"/>
          <w:u w:val="none"/>
          <w:lang w:val="el-GR"/>
        </w:rPr>
        <w:t xml:space="preserve"> </w:t>
      </w:r>
      <w:r>
        <w:rPr>
          <w:b w:val="false"/>
          <w:bCs w:val="false"/>
          <w:sz w:val="24"/>
          <w:szCs w:val="24"/>
          <w:u w:val="none"/>
          <w:lang w:val="en-US"/>
        </w:rPr>
        <w:t>cm, (</w:t>
      </w:r>
      <w:r>
        <w:rPr>
          <w:b w:val="false"/>
          <w:bCs w:val="false"/>
          <w:sz w:val="24"/>
          <w:szCs w:val="24"/>
          <w:u w:val="none"/>
          <w:lang w:val="el-GR"/>
        </w:rPr>
        <w:t>και εννοείται αντίστοιχο θα είναι το μήκος της άλλης πλευράς, για να σχηματισθούν οι κάτω  γωνίες «</w:t>
      </w:r>
      <w:r>
        <w:rPr>
          <w:b w:val="false"/>
          <w:bCs w:val="false"/>
          <w:sz w:val="24"/>
          <w:szCs w:val="24"/>
          <w:u w:val="none"/>
          <w:lang w:val="en-US"/>
        </w:rPr>
        <w:t xml:space="preserve">V». </w:t>
      </w:r>
    </w:p>
    <w:p>
      <w:pPr>
        <w:pStyle w:val="Normal"/>
        <w:rPr>
          <w:sz w:val="24"/>
          <w:szCs w:val="24"/>
        </w:rPr>
      </w:pPr>
      <w:r>
        <w:rPr>
          <w:bCs/>
          <w:sz w:val="24"/>
          <w:szCs w:val="24"/>
          <w:lang w:val="el-GR"/>
        </w:rPr>
        <w:t xml:space="preserve">Ακριβώς πάνω από την «πρώτη» κάτωθεν σειρίδα, (Ως πρώτη νοείται η σειρίδα που βρίσκεται προς την άνω πλευρά, κοιτώντας το διακριτικό από πάνω προς τα κάτω) ράβονται επίσης κατά τον ίδιο τρόπο δύο σειρίδες σε μορφή τόξου (τόξο κύκλου). </w:t>
      </w:r>
    </w:p>
    <w:p>
      <w:pPr>
        <w:pStyle w:val="Normal"/>
        <w:rPr>
          <w:sz w:val="24"/>
          <w:szCs w:val="24"/>
        </w:rPr>
      </w:pPr>
      <w:r>
        <w:rPr>
          <w:bCs/>
          <w:sz w:val="24"/>
          <w:szCs w:val="24"/>
          <w:lang w:val="el-GR"/>
        </w:rPr>
        <w:t xml:space="preserve">Κατ' αυτόν τον τρόπο, «σχηματίζεται» ανάμεσα στην «πρώτη» κάτω σειρίδα και την πάνω σειρίδα του τόξου «ελεύθερος» χώρος ύψους περίπου 25 </w:t>
      </w:r>
      <w:r>
        <w:rPr>
          <w:bCs/>
          <w:sz w:val="24"/>
          <w:szCs w:val="24"/>
          <w:lang w:val="en-US"/>
        </w:rPr>
        <w:t>mm</w:t>
      </w:r>
      <w:r>
        <w:rPr>
          <w:bCs/>
          <w:sz w:val="24"/>
          <w:szCs w:val="24"/>
          <w:lang w:val="el-GR"/>
        </w:rPr>
        <w:t>, μέσα στον οποίο ράβεται το διακριτικό της ειδικότητας ή τέχνης του χρήστη.</w:t>
      </w:r>
    </w:p>
    <w:p>
      <w:pPr>
        <w:pStyle w:val="Normal"/>
        <w:rPr>
          <w:sz w:val="24"/>
          <w:szCs w:val="24"/>
        </w:rPr>
      </w:pPr>
      <w:r>
        <w:rPr>
          <w:bCs/>
          <w:sz w:val="24"/>
          <w:szCs w:val="24"/>
          <w:lang w:val="el-GR"/>
        </w:rPr>
        <w:t xml:space="preserve">Οι  ως άνω σειρίδες (αναλόγως του βαθμού) ράβονται με τέτοιο τρόπο ώστε να είναι ισοκατανεμημένες και να ισαπέχουν από τα άκρα της επωμίδας (κατά την έννοια του μήκους της) καταλαμβάνοντας το μέσο αυτής (όπως παρουσιάζεται και στην Εικόνα Ι της ανωτέρω § 4.2.1). </w:t>
      </w:r>
    </w:p>
    <w:p>
      <w:pPr>
        <w:pStyle w:val="Normal"/>
        <w:rPr>
          <w:sz w:val="24"/>
          <w:szCs w:val="24"/>
        </w:rPr>
      </w:pPr>
      <w:r>
        <w:rPr>
          <w:sz w:val="24"/>
          <w:szCs w:val="24"/>
        </w:rPr>
      </w:r>
    </w:p>
    <w:p>
      <w:pPr>
        <w:pStyle w:val="Normal"/>
        <w:rPr>
          <w:sz w:val="24"/>
          <w:szCs w:val="24"/>
        </w:rPr>
      </w:pPr>
      <w:r>
        <w:rPr>
          <w:b/>
          <w:bCs/>
          <w:sz w:val="24"/>
          <w:szCs w:val="24"/>
          <w:lang w:val="el-GR"/>
        </w:rPr>
        <w:t>4.3.2.2</w:t>
      </w:r>
      <w:r>
        <w:rPr>
          <w:bCs/>
          <w:sz w:val="24"/>
          <w:szCs w:val="24"/>
          <w:lang w:val="el-GR"/>
        </w:rPr>
        <w:t xml:space="preserve"> Υπαξιωματικών Μονιμοποιηθέντων ΕΜΘ </w:t>
      </w:r>
    </w:p>
    <w:p>
      <w:pPr>
        <w:pStyle w:val="Normal"/>
        <w:rPr>
          <w:sz w:val="24"/>
          <w:szCs w:val="24"/>
        </w:rPr>
      </w:pPr>
      <w:r>
        <w:rPr>
          <w:bCs/>
          <w:sz w:val="24"/>
          <w:szCs w:val="24"/>
          <w:lang w:val="el-GR"/>
        </w:rPr>
        <w:t>Με το ως άνω γαλόνι § 4.2.2 κατασκευάζονται δύο (2) σειρίδες (για τους κελευστές) τρείς (3) (για τους επικελευστές) και τέσσερις (4) σειρίδες (για τους αρχικελευστές) αντίστοιχα σε μορφή «V» σε γωνία περίπου 120</w:t>
      </w:r>
      <w:r>
        <w:rPr>
          <w:bCs/>
          <w:sz w:val="24"/>
          <w:szCs w:val="24"/>
          <w:vertAlign w:val="superscript"/>
          <w:lang w:val="el-GR"/>
        </w:rPr>
        <w:t>0</w:t>
      </w:r>
      <w:r>
        <w:rPr>
          <w:bCs/>
          <w:sz w:val="24"/>
          <w:szCs w:val="24"/>
          <w:lang w:val="el-GR"/>
        </w:rPr>
        <w:t xml:space="preserve"> οι οποίες ράβονται με την γωνία αυτών να «κοιτάει» προς τα κάτω  στο ύφασμα της § 4.2.3.  Η απόσταση μεταξύ των εν λόγω σειρίδων είναι περίπου </w:t>
      </w:r>
      <w:r>
        <w:rPr>
          <w:bCs/>
          <w:sz w:val="24"/>
          <w:szCs w:val="24"/>
          <w:lang w:val="en-US"/>
        </w:rPr>
        <w:t>2mm.</w:t>
      </w:r>
    </w:p>
    <w:p>
      <w:pPr>
        <w:pStyle w:val="Normal"/>
        <w:rPr>
          <w:sz w:val="24"/>
          <w:szCs w:val="24"/>
        </w:rPr>
      </w:pPr>
      <w:r>
        <w:rPr>
          <w:b w:val="false"/>
          <w:bCs w:val="false"/>
          <w:sz w:val="24"/>
          <w:szCs w:val="24"/>
          <w:u w:val="none"/>
          <w:lang w:val="el-GR"/>
        </w:rPr>
        <w:t xml:space="preserve">Το μήκος της μίας πλευράς της γωνίας  είναι περίπου </w:t>
      </w:r>
      <w:r>
        <w:rPr>
          <w:b w:val="false"/>
          <w:bCs w:val="false"/>
          <w:sz w:val="24"/>
          <w:szCs w:val="24"/>
          <w:u w:val="none"/>
          <w:lang w:val="en-US"/>
        </w:rPr>
        <w:t>3,2</w:t>
      </w:r>
      <w:r>
        <w:rPr>
          <w:b w:val="false"/>
          <w:bCs w:val="false"/>
          <w:sz w:val="24"/>
          <w:szCs w:val="24"/>
          <w:u w:val="none"/>
          <w:lang w:val="el-GR"/>
        </w:rPr>
        <w:t xml:space="preserve"> - </w:t>
      </w:r>
      <w:r>
        <w:rPr>
          <w:b w:val="false"/>
          <w:bCs w:val="false"/>
          <w:sz w:val="24"/>
          <w:szCs w:val="24"/>
          <w:u w:val="none"/>
          <w:lang w:val="en-US"/>
        </w:rPr>
        <w:t>3,5</w:t>
      </w:r>
      <w:r>
        <w:rPr>
          <w:b w:val="false"/>
          <w:bCs w:val="false"/>
          <w:sz w:val="24"/>
          <w:szCs w:val="24"/>
          <w:u w:val="none"/>
          <w:lang w:val="el-GR"/>
        </w:rPr>
        <w:t xml:space="preserve"> </w:t>
      </w:r>
      <w:r>
        <w:rPr>
          <w:b w:val="false"/>
          <w:bCs w:val="false"/>
          <w:sz w:val="24"/>
          <w:szCs w:val="24"/>
          <w:u w:val="none"/>
          <w:lang w:val="en-US"/>
        </w:rPr>
        <w:t>cm, (</w:t>
      </w:r>
      <w:r>
        <w:rPr>
          <w:b w:val="false"/>
          <w:bCs w:val="false"/>
          <w:sz w:val="24"/>
          <w:szCs w:val="24"/>
          <w:u w:val="none"/>
          <w:lang w:val="el-GR"/>
        </w:rPr>
        <w:t>και εννοείται αντίστοιχο θα είναι το μήκος της άλλης πλευράς, για να σχηματισθούν οι κάτω  γωνίες «</w:t>
      </w:r>
      <w:r>
        <w:rPr>
          <w:b w:val="false"/>
          <w:bCs w:val="false"/>
          <w:sz w:val="24"/>
          <w:szCs w:val="24"/>
          <w:u w:val="none"/>
          <w:lang w:val="en-US"/>
        </w:rPr>
        <w:t xml:space="preserve">V». </w:t>
      </w:r>
    </w:p>
    <w:p>
      <w:pPr>
        <w:pStyle w:val="Normal"/>
        <w:rPr>
          <w:sz w:val="24"/>
          <w:szCs w:val="24"/>
        </w:rPr>
      </w:pPr>
      <w:r>
        <w:rPr>
          <w:bCs/>
          <w:sz w:val="24"/>
          <w:szCs w:val="24"/>
          <w:lang w:val="el-GR"/>
        </w:rPr>
        <w:t xml:space="preserve">Ακριβώς πάνω από την «πρώτη» κάτωθεν σειρίδα, (Ως πρώτη νοείται η σειρίδα που βρίσκεται προς την άνω πλευρά, κοιτώντας το διακριτικό από πάνω προς τα κάτω) ράβονται επίσης κατά τον ίδιο τρόπο μία (1) σειρίδα σε μορφή τόξου (τόξο κύκλου) . </w:t>
      </w:r>
    </w:p>
    <w:p>
      <w:pPr>
        <w:pStyle w:val="Normal"/>
        <w:rPr>
          <w:sz w:val="24"/>
          <w:szCs w:val="24"/>
        </w:rPr>
      </w:pPr>
      <w:r>
        <w:rPr>
          <w:bCs/>
          <w:sz w:val="24"/>
          <w:szCs w:val="24"/>
          <w:lang w:val="el-GR"/>
        </w:rPr>
        <w:t xml:space="preserve">Κατ' αυτόν τον τρόπο, «σχηματίζεται» ανάμεσα στην «πρώτη» κάτω και την πάνω σειρίδα του τόξου «ελεύθερος» χώρος, με ύψος περίπου 25 </w:t>
      </w:r>
      <w:r>
        <w:rPr>
          <w:bCs/>
          <w:sz w:val="24"/>
          <w:szCs w:val="24"/>
          <w:lang w:val="en-US"/>
        </w:rPr>
        <w:t xml:space="preserve">mm </w:t>
      </w:r>
      <w:r>
        <w:rPr>
          <w:bCs/>
          <w:sz w:val="24"/>
          <w:szCs w:val="24"/>
          <w:lang w:val="el-GR"/>
        </w:rPr>
        <w:t>μέσα στον οποίο ράβεται το διακριτικό της ειδικότητας ή τέχνης του χρήστη.</w:t>
      </w:r>
    </w:p>
    <w:p>
      <w:pPr>
        <w:pStyle w:val="Normal"/>
        <w:rPr>
          <w:sz w:val="24"/>
          <w:szCs w:val="24"/>
        </w:rPr>
      </w:pPr>
      <w:r>
        <w:rPr>
          <w:bCs/>
          <w:sz w:val="24"/>
          <w:szCs w:val="24"/>
          <w:lang w:val="el-GR"/>
        </w:rPr>
        <w:t xml:space="preserve">Οι  ως άνω σειρίδες (αναλόγως του βαθμού) ράβονται με τέτοιο τρόπο ώστε να είναι ισοκατανεμημένες και να ισαπέχουν από τα άκρα του διακριτικού (κατά την έννοια του μήκους του) καταλαμβάνοντας </w:t>
      </w:r>
      <w:r>
        <w:rPr>
          <w:bCs/>
          <w:sz w:val="24"/>
          <w:szCs w:val="24"/>
          <w:u w:val="single"/>
          <w:lang w:val="el-GR"/>
        </w:rPr>
        <w:t>το μέσο αυτού</w:t>
      </w:r>
      <w:r>
        <w:rPr>
          <w:bCs/>
          <w:sz w:val="24"/>
          <w:szCs w:val="24"/>
          <w:lang w:val="el-GR"/>
        </w:rPr>
        <w:t xml:space="preserve"> (όπως παρουσιάζεται και στην Εικόνα ΙΙ της ανωτέρω § 4.2.1). </w:t>
      </w:r>
    </w:p>
    <w:p>
      <w:pPr>
        <w:pStyle w:val="Normal"/>
        <w:rPr>
          <w:sz w:val="24"/>
          <w:szCs w:val="24"/>
        </w:rPr>
      </w:pPr>
      <w:r>
        <w:rPr>
          <w:sz w:val="24"/>
          <w:szCs w:val="24"/>
        </w:rPr>
      </w:r>
    </w:p>
    <w:p>
      <w:pPr>
        <w:pStyle w:val="Normal"/>
        <w:rPr>
          <w:b/>
          <w:bCs/>
          <w:sz w:val="24"/>
          <w:szCs w:val="24"/>
        </w:rPr>
      </w:pPr>
      <w:r>
        <w:rPr>
          <w:b/>
          <w:bCs/>
          <w:sz w:val="24"/>
          <w:szCs w:val="24"/>
        </w:rPr>
        <w:t>4.3.3 Διακριτικό βαθμού ΕΠ.ΟΠ.</w:t>
      </w:r>
    </w:p>
    <w:p>
      <w:pPr>
        <w:pStyle w:val="Normal"/>
        <w:rPr>
          <w:sz w:val="24"/>
          <w:szCs w:val="24"/>
        </w:rPr>
      </w:pPr>
      <w:r>
        <w:rPr>
          <w:bCs/>
          <w:sz w:val="24"/>
          <w:szCs w:val="24"/>
          <w:lang w:val="el-GR"/>
        </w:rPr>
        <w:t>Με την κλωστή της § 4.2.4.4.2 κατασκευάζονται (κεντιούνται) δύο (2) σειρίδες - ταινίες (σειρές) για τους διόπους ΕΠ.ΟΠ και μία (1) σειρίδα-ταινία (σειρά) για τους ναύτες ΕΠ.ΟΠ αντίστοιχα σε μορφή «</w:t>
      </w:r>
      <w:r>
        <w:rPr>
          <w:b/>
          <w:bCs/>
          <w:sz w:val="24"/>
          <w:szCs w:val="24"/>
          <w:lang w:val="el-GR"/>
        </w:rPr>
        <w:t>V</w:t>
      </w:r>
      <w:r>
        <w:rPr>
          <w:bCs/>
          <w:sz w:val="24"/>
          <w:szCs w:val="24"/>
          <w:lang w:val="el-GR"/>
        </w:rPr>
        <w:t>» με γωνία περίπου 120</w:t>
      </w:r>
      <w:r>
        <w:rPr>
          <w:bCs/>
          <w:sz w:val="24"/>
          <w:szCs w:val="24"/>
          <w:vertAlign w:val="superscript"/>
          <w:lang w:val="el-GR"/>
        </w:rPr>
        <w:t>0</w:t>
      </w:r>
      <w:r>
        <w:rPr>
          <w:bCs/>
          <w:sz w:val="24"/>
          <w:szCs w:val="24"/>
          <w:lang w:val="el-GR"/>
        </w:rPr>
        <w:t xml:space="preserve"> οι οποίες κεντώνται με την γωνία αυτών να «κοιτάει» προς τα κάτω στο ύφασμα της § 4.2.3.  Η απόσταση μεταξύ των εν λόγω σειρίδων-ταινιών για τους δίοπους ΕΠ.ΟΠ είναι περίπου 3</w:t>
      </w:r>
      <w:r>
        <w:rPr>
          <w:bCs/>
          <w:sz w:val="24"/>
          <w:szCs w:val="24"/>
          <w:lang w:val="en-US"/>
        </w:rPr>
        <w:t>mm.</w:t>
      </w:r>
      <w:r>
        <w:rPr>
          <w:bCs/>
          <w:sz w:val="24"/>
          <w:szCs w:val="24"/>
          <w:lang w:val="el-GR"/>
        </w:rPr>
        <w:t xml:space="preserve"> </w:t>
      </w:r>
    </w:p>
    <w:p>
      <w:pPr>
        <w:pStyle w:val="Normal"/>
        <w:rPr>
          <w:sz w:val="24"/>
          <w:szCs w:val="24"/>
        </w:rPr>
      </w:pPr>
      <w:r>
        <w:rPr>
          <w:bCs/>
          <w:sz w:val="24"/>
          <w:szCs w:val="24"/>
          <w:lang w:val="el-GR"/>
        </w:rPr>
        <w:t>Οι δύο πλευρές της γωνίας καλύπτουν όλο το πλάτος του διακριτικού,  από άκρη σε άκρη.</w:t>
      </w:r>
      <w:r>
        <w:rPr>
          <w:bCs/>
          <w:sz w:val="24"/>
          <w:szCs w:val="24"/>
          <w:lang w:val="en-US"/>
        </w:rPr>
        <w:t xml:space="preserve"> </w:t>
      </w:r>
      <w:r>
        <w:rPr>
          <w:bCs/>
          <w:sz w:val="24"/>
          <w:szCs w:val="24"/>
          <w:lang w:val="el-GR"/>
        </w:rPr>
        <w:t xml:space="preserve">[Ως εκ τούτου </w:t>
      </w:r>
      <w:r>
        <w:rPr>
          <w:b w:val="false"/>
          <w:bCs w:val="false"/>
          <w:sz w:val="24"/>
          <w:szCs w:val="24"/>
          <w:u w:val="none"/>
          <w:lang w:val="el-GR"/>
        </w:rPr>
        <w:t xml:space="preserve">το μήκος της μίας πλευράς της γωνίας  είναι περίπου 3,2 – 3,5 </w:t>
      </w:r>
      <w:r>
        <w:rPr>
          <w:b w:val="false"/>
          <w:bCs w:val="false"/>
          <w:sz w:val="24"/>
          <w:szCs w:val="24"/>
          <w:u w:val="none"/>
          <w:lang w:val="en-US"/>
        </w:rPr>
        <w:t>cm, (</w:t>
      </w:r>
      <w:r>
        <w:rPr>
          <w:b w:val="false"/>
          <w:bCs w:val="false"/>
          <w:sz w:val="24"/>
          <w:szCs w:val="24"/>
          <w:u w:val="none"/>
          <w:lang w:val="el-GR"/>
        </w:rPr>
        <w:t>και αντίστοιχο εννοείται ότι θα είναι το μήκος της άλλης πλευράς, για να σχηματισθεί η γωνία «</w:t>
      </w:r>
      <w:r>
        <w:rPr>
          <w:b w:val="false"/>
          <w:bCs w:val="false"/>
          <w:sz w:val="24"/>
          <w:szCs w:val="24"/>
          <w:u w:val="none"/>
          <w:lang w:val="en-US"/>
        </w:rPr>
        <w:t>V»</w:t>
      </w:r>
      <w:r>
        <w:rPr>
          <w:b w:val="false"/>
          <w:bCs w:val="false"/>
          <w:sz w:val="24"/>
          <w:szCs w:val="24"/>
          <w:u w:val="none"/>
          <w:lang w:val="el-GR"/>
        </w:rPr>
        <w:t>)]</w:t>
      </w:r>
      <w:r>
        <w:rPr>
          <w:b w:val="false"/>
          <w:bCs w:val="false"/>
          <w:sz w:val="24"/>
          <w:szCs w:val="24"/>
          <w:u w:val="none"/>
          <w:lang w:val="en-US"/>
        </w:rPr>
        <w:t>.</w:t>
      </w:r>
    </w:p>
    <w:p>
      <w:pPr>
        <w:pStyle w:val="Normal"/>
        <w:rPr>
          <w:sz w:val="24"/>
          <w:szCs w:val="24"/>
        </w:rPr>
      </w:pPr>
      <w:r>
        <w:rPr>
          <w:bCs/>
          <w:sz w:val="24"/>
          <w:szCs w:val="24"/>
          <w:lang w:val="el-GR"/>
        </w:rPr>
        <w:t xml:space="preserve">Πάνω από την «πρώτη» κάτωθεν σειρίδα-ταινία, (Ως πρώτη νοείται η σειρίδα που βρίσκεται προς την άνω πλευρά, κοιτώντας το διακριτικό από πάνω προς τα κάτω) και σε απόσταση 4,0 </w:t>
      </w:r>
      <w:r>
        <w:rPr>
          <w:bCs/>
          <w:sz w:val="24"/>
          <w:szCs w:val="24"/>
          <w:lang w:val="en-US"/>
        </w:rPr>
        <w:t xml:space="preserve">cm </w:t>
      </w:r>
      <w:r>
        <w:rPr>
          <w:bCs/>
          <w:sz w:val="24"/>
          <w:szCs w:val="24"/>
          <w:lang w:val="el-GR"/>
        </w:rPr>
        <w:t xml:space="preserve">της κεντάται επίσης κατά τον ίδιο τρόπο μία οριζόντια ταινία μήκους      3 </w:t>
      </w:r>
      <w:r>
        <w:rPr>
          <w:bCs/>
          <w:sz w:val="24"/>
          <w:szCs w:val="24"/>
          <w:lang w:val="en-US"/>
        </w:rPr>
        <w:t xml:space="preserve">cm </w:t>
      </w:r>
      <w:r>
        <w:rPr>
          <w:bCs/>
          <w:sz w:val="24"/>
          <w:szCs w:val="24"/>
          <w:lang w:val="el-GR"/>
        </w:rPr>
        <w:t xml:space="preserve"> και πλάτους (πάχους) 1 </w:t>
      </w:r>
      <w:r>
        <w:rPr>
          <w:bCs/>
          <w:sz w:val="24"/>
          <w:szCs w:val="24"/>
          <w:lang w:val="en-US"/>
        </w:rPr>
        <w:t xml:space="preserve">cm. </w:t>
      </w:r>
    </w:p>
    <w:p>
      <w:pPr>
        <w:pStyle w:val="Normal"/>
        <w:rPr>
          <w:sz w:val="24"/>
          <w:szCs w:val="24"/>
        </w:rPr>
      </w:pPr>
      <w:r>
        <w:rPr>
          <w:bCs/>
          <w:sz w:val="24"/>
          <w:szCs w:val="24"/>
          <w:lang w:val="el-GR"/>
        </w:rPr>
        <w:t xml:space="preserve">[Ως απόσταση των 4,0 </w:t>
      </w:r>
      <w:r>
        <w:rPr>
          <w:bCs/>
          <w:sz w:val="24"/>
          <w:szCs w:val="24"/>
          <w:lang w:val="en-US"/>
        </w:rPr>
        <w:t xml:space="preserve">cm </w:t>
      </w:r>
      <w:r>
        <w:rPr>
          <w:bCs/>
          <w:sz w:val="24"/>
          <w:szCs w:val="24"/>
          <w:lang w:val="el-GR"/>
        </w:rPr>
        <w:t xml:space="preserve">εννοείται η απόσταση (κάθετος) από την εσωτερική γωνία της «πρώτης» σειρίδας-ταινίας  έως την </w:t>
      </w:r>
      <w:r>
        <w:rPr>
          <w:b/>
          <w:bCs/>
          <w:sz w:val="24"/>
          <w:szCs w:val="24"/>
          <w:u w:val="single"/>
          <w:lang w:val="el-GR"/>
        </w:rPr>
        <w:t>κάτω</w:t>
      </w:r>
      <w:r>
        <w:rPr>
          <w:bCs/>
          <w:sz w:val="24"/>
          <w:szCs w:val="24"/>
          <w:lang w:val="el-GR"/>
        </w:rPr>
        <w:t xml:space="preserve"> πλευρά της οριζόντιας σειρίδας-ταινίας</w:t>
      </w:r>
    </w:p>
    <w:p>
      <w:pPr>
        <w:pStyle w:val="Normal"/>
        <w:rPr>
          <w:sz w:val="24"/>
          <w:szCs w:val="24"/>
        </w:rPr>
      </w:pPr>
      <w:r>
        <w:rPr>
          <w:bCs/>
          <w:sz w:val="24"/>
          <w:szCs w:val="24"/>
          <w:lang w:val="el-GR"/>
        </w:rPr>
        <w:t>Κατ' αυτόν τον τρόπο, «σχηματίζεται» ανάμεσα στην κάτω σειρίδα και την πάνω οριζόντια ταινία «ελεύθερος» χώρος, μέσα στον οποίο ράβεται το διακριτικό της ειδικότητας ή τέχνης του χρήστη.</w:t>
      </w:r>
    </w:p>
    <w:p>
      <w:pPr>
        <w:pStyle w:val="Normal"/>
        <w:rPr>
          <w:sz w:val="24"/>
          <w:szCs w:val="24"/>
        </w:rPr>
      </w:pPr>
      <w:r>
        <w:rPr>
          <w:bCs/>
          <w:sz w:val="24"/>
          <w:szCs w:val="24"/>
          <w:lang w:val="el-GR"/>
        </w:rPr>
        <w:t xml:space="preserve">Οι  ως άνω σειρίδες ράβονται με τέτοιο τρόπο ώστε να είναι ισοκατανεμημένες και να ισαπέχουν από τα άκρα του διακριτικού (κατά την έννοια του μήκους / ύψους του) καταλαμβάνοντας </w:t>
      </w:r>
      <w:r>
        <w:rPr>
          <w:b/>
          <w:bCs/>
          <w:sz w:val="24"/>
          <w:szCs w:val="24"/>
          <w:u w:val="single"/>
          <w:lang w:val="el-GR"/>
        </w:rPr>
        <w:t xml:space="preserve">το μέσο αυτού </w:t>
      </w:r>
      <w:r>
        <w:rPr>
          <w:bCs/>
          <w:sz w:val="24"/>
          <w:szCs w:val="24"/>
          <w:lang w:val="el-GR"/>
        </w:rPr>
        <w:t>(όπως παρουσιάζεται και στις Εικόνες ΙΙΙ και Ι</w:t>
      </w:r>
      <w:r>
        <w:rPr>
          <w:bCs/>
          <w:sz w:val="24"/>
          <w:szCs w:val="24"/>
          <w:lang w:val="en-US"/>
        </w:rPr>
        <w:t>V</w:t>
      </w:r>
      <w:r>
        <w:rPr>
          <w:bCs/>
          <w:sz w:val="24"/>
          <w:szCs w:val="24"/>
          <w:lang w:val="el-GR"/>
        </w:rPr>
        <w:t xml:space="preserve"> της ανωτέρω § 4.2.1). </w:t>
      </w:r>
    </w:p>
    <w:p>
      <w:pPr>
        <w:pStyle w:val="Normal"/>
        <w:rPr>
          <w:sz w:val="24"/>
          <w:szCs w:val="24"/>
        </w:rPr>
      </w:pPr>
      <w:r>
        <w:rPr>
          <w:b w:val="false"/>
          <w:bCs w:val="false"/>
          <w:sz w:val="24"/>
          <w:szCs w:val="24"/>
          <w:lang w:val="el-GR"/>
        </w:rPr>
        <w:t xml:space="preserve">Το συνολικό ύψος </w:t>
      </w:r>
      <w:r>
        <w:rPr>
          <w:b w:val="false"/>
          <w:bCs w:val="false"/>
          <w:sz w:val="24"/>
          <w:szCs w:val="24"/>
          <w:lang w:val="en-US"/>
        </w:rPr>
        <w:t>(</w:t>
      </w:r>
      <w:r>
        <w:rPr>
          <w:b w:val="false"/>
          <w:bCs w:val="false"/>
          <w:sz w:val="24"/>
          <w:szCs w:val="24"/>
          <w:lang w:val="el-GR"/>
        </w:rPr>
        <w:t xml:space="preserve">κατακόρυφο μήκος) του συμπλέγματος του διακριτικού του δίοπου των ΕΠ.ΟΠ θα είναι περίπου 80 </w:t>
      </w:r>
      <w:r>
        <w:rPr>
          <w:b w:val="false"/>
          <w:bCs w:val="false"/>
          <w:sz w:val="24"/>
          <w:szCs w:val="24"/>
          <w:lang w:val="en-US"/>
        </w:rPr>
        <w:t xml:space="preserve">mm, </w:t>
      </w:r>
      <w:r>
        <w:rPr>
          <w:b w:val="false"/>
          <w:bCs w:val="false"/>
          <w:sz w:val="24"/>
          <w:szCs w:val="24"/>
          <w:lang w:val="el-GR"/>
        </w:rPr>
        <w:t xml:space="preserve">ενώ το ύψος του συμπλέγματος του διακριτικού του ναύτη ΕΠ.ΟΠ θα είναι 65-55 </w:t>
      </w:r>
      <w:r>
        <w:rPr>
          <w:b w:val="false"/>
          <w:bCs w:val="false"/>
          <w:sz w:val="24"/>
          <w:szCs w:val="24"/>
          <w:lang w:val="en-US"/>
        </w:rPr>
        <w:t xml:space="preserve">mm. </w:t>
      </w:r>
    </w:p>
    <w:p>
      <w:pPr>
        <w:pStyle w:val="Normal"/>
        <w:rPr>
          <w:sz w:val="24"/>
          <w:szCs w:val="24"/>
        </w:rPr>
      </w:pPr>
      <w:r>
        <w:rPr>
          <w:sz w:val="24"/>
          <w:szCs w:val="24"/>
        </w:rPr>
      </w:r>
    </w:p>
    <w:p>
      <w:pPr>
        <w:pStyle w:val="Normal"/>
        <w:rPr>
          <w:b/>
          <w:bCs/>
          <w:sz w:val="24"/>
          <w:szCs w:val="24"/>
        </w:rPr>
      </w:pPr>
      <w:r>
        <w:rPr>
          <w:b/>
          <w:bCs/>
          <w:sz w:val="24"/>
          <w:szCs w:val="24"/>
        </w:rPr>
        <w:t xml:space="preserve">4.3.4 Διακριτικό βαθμού </w:t>
      </w:r>
      <w:r>
        <w:rPr>
          <w:b/>
          <w:bCs/>
          <w:sz w:val="24"/>
          <w:szCs w:val="24"/>
          <w:lang w:val="el-GR"/>
        </w:rPr>
        <w:t xml:space="preserve">Ναυτοδιόπων (Προσωπικό στρατευμένης θητείας) </w:t>
      </w:r>
    </w:p>
    <w:p>
      <w:pPr>
        <w:pStyle w:val="Normal"/>
        <w:rPr>
          <w:sz w:val="24"/>
          <w:szCs w:val="24"/>
        </w:rPr>
      </w:pPr>
      <w:r>
        <w:rPr>
          <w:bCs/>
          <w:sz w:val="24"/>
          <w:szCs w:val="24"/>
          <w:lang w:val="el-GR"/>
        </w:rPr>
        <w:t>Με την κλωστή της § 4.2.4 κατασκευάζονται (κεντιούνται) δύο (2) σειρίδες - ταινίες (σειρές) για τους διόπους ΕΠ.ΟΠ και μία (1) σειρίδα-ταινία (σειρά) για τους ναύτες ΕΠ.ΟΠ αντίστοιχα σε μορφή «</w:t>
      </w:r>
      <w:r>
        <w:rPr>
          <w:b/>
          <w:bCs/>
          <w:sz w:val="24"/>
          <w:szCs w:val="24"/>
          <w:lang w:val="el-GR"/>
        </w:rPr>
        <w:t>V</w:t>
      </w:r>
      <w:r>
        <w:rPr>
          <w:bCs/>
          <w:sz w:val="24"/>
          <w:szCs w:val="24"/>
          <w:lang w:val="el-GR"/>
        </w:rPr>
        <w:t>» με γωνία περίπου 120</w:t>
      </w:r>
      <w:r>
        <w:rPr>
          <w:bCs/>
          <w:sz w:val="24"/>
          <w:szCs w:val="24"/>
          <w:vertAlign w:val="superscript"/>
          <w:lang w:val="el-GR"/>
        </w:rPr>
        <w:t>0</w:t>
      </w:r>
      <w:r>
        <w:rPr>
          <w:bCs/>
          <w:sz w:val="24"/>
          <w:szCs w:val="24"/>
          <w:lang w:val="el-GR"/>
        </w:rPr>
        <w:t xml:space="preserve"> οι οποίες κεντώνται με την γωνία αυτών να «κοιτάει» προς τα κάτω στο ύφασμα της § 4.2.3. Η απόσταση μεταξύ των εν λόγω σειρίδων-ταινιών για τους δίοπους είναι περίπου 3</w:t>
      </w:r>
      <w:r>
        <w:rPr>
          <w:bCs/>
          <w:sz w:val="24"/>
          <w:szCs w:val="24"/>
          <w:lang w:val="en-US"/>
        </w:rPr>
        <w:t>mm.</w:t>
      </w:r>
      <w:r>
        <w:rPr>
          <w:bCs/>
          <w:sz w:val="24"/>
          <w:szCs w:val="24"/>
          <w:lang w:val="el-GR"/>
        </w:rPr>
        <w:t xml:space="preserve"> </w:t>
      </w:r>
    </w:p>
    <w:p>
      <w:pPr>
        <w:pStyle w:val="Normal"/>
        <w:rPr>
          <w:sz w:val="24"/>
          <w:szCs w:val="24"/>
        </w:rPr>
      </w:pPr>
      <w:r>
        <w:rPr>
          <w:bCs/>
          <w:sz w:val="24"/>
          <w:szCs w:val="24"/>
          <w:lang w:val="el-GR"/>
        </w:rPr>
        <w:t>Οι δύο πλευρές της γωνίας καλύπτουν όλο το πλάτος του διακριτικού,  από άκρη σε άκρη.</w:t>
      </w:r>
      <w:r>
        <w:rPr>
          <w:bCs/>
          <w:sz w:val="24"/>
          <w:szCs w:val="24"/>
          <w:lang w:val="en-US"/>
        </w:rPr>
        <w:t xml:space="preserve"> </w:t>
      </w:r>
      <w:r>
        <w:rPr>
          <w:bCs/>
          <w:sz w:val="24"/>
          <w:szCs w:val="24"/>
          <w:lang w:val="el-GR"/>
        </w:rPr>
        <w:t xml:space="preserve">[Ως εκ τούτου </w:t>
      </w:r>
      <w:r>
        <w:rPr>
          <w:b w:val="false"/>
          <w:bCs w:val="false"/>
          <w:sz w:val="24"/>
          <w:szCs w:val="24"/>
          <w:u w:val="none"/>
          <w:lang w:val="el-GR"/>
        </w:rPr>
        <w:t xml:space="preserve">το μήκος της μίας πλευράς της γωνίας  είναι περίπου 3,2 – 3,5 </w:t>
      </w:r>
      <w:r>
        <w:rPr>
          <w:b w:val="false"/>
          <w:bCs w:val="false"/>
          <w:sz w:val="24"/>
          <w:szCs w:val="24"/>
          <w:u w:val="none"/>
          <w:lang w:val="en-US"/>
        </w:rPr>
        <w:t>cm, (</w:t>
      </w:r>
      <w:r>
        <w:rPr>
          <w:b w:val="false"/>
          <w:bCs w:val="false"/>
          <w:sz w:val="24"/>
          <w:szCs w:val="24"/>
          <w:u w:val="none"/>
          <w:lang w:val="el-GR"/>
        </w:rPr>
        <w:t>και αντίστοιχο εννοείται ότι θα είναι το μήκος της άλλης πλευράς, για να σχηματισθεί η γωνία «</w:t>
      </w:r>
      <w:r>
        <w:rPr>
          <w:b w:val="false"/>
          <w:bCs w:val="false"/>
          <w:sz w:val="24"/>
          <w:szCs w:val="24"/>
          <w:u w:val="none"/>
          <w:lang w:val="en-US"/>
        </w:rPr>
        <w:t>V»</w:t>
      </w:r>
      <w:r>
        <w:rPr>
          <w:b w:val="false"/>
          <w:bCs w:val="false"/>
          <w:sz w:val="24"/>
          <w:szCs w:val="24"/>
          <w:u w:val="none"/>
          <w:lang w:val="el-GR"/>
        </w:rPr>
        <w:t>)]</w:t>
      </w:r>
      <w:r>
        <w:rPr>
          <w:b w:val="false"/>
          <w:bCs w:val="false"/>
          <w:sz w:val="24"/>
          <w:szCs w:val="24"/>
          <w:u w:val="none"/>
          <w:lang w:val="en-US"/>
        </w:rPr>
        <w:t>.</w:t>
      </w:r>
    </w:p>
    <w:p>
      <w:pPr>
        <w:pStyle w:val="Normal"/>
        <w:rPr>
          <w:sz w:val="24"/>
          <w:szCs w:val="24"/>
        </w:rPr>
      </w:pPr>
      <w:r>
        <w:rPr>
          <w:bCs/>
          <w:sz w:val="24"/>
          <w:szCs w:val="24"/>
          <w:lang w:val="el-GR"/>
        </w:rPr>
        <w:t>Στον χώρο άνωθεν της κάτω σειρίδας ταινίας κεντάται το διακριτικό της ειδικότητας ή τέχνης του χρήστη, (το οποίο τοποθετείται περίπου στην ίδια ευθεία με το τελείωμα της των/(της) γωνίας «</w:t>
      </w:r>
      <w:r>
        <w:rPr>
          <w:bCs/>
          <w:sz w:val="24"/>
          <w:szCs w:val="24"/>
          <w:lang w:val="en-US"/>
        </w:rPr>
        <w:t>V».)</w:t>
      </w:r>
    </w:p>
    <w:p>
      <w:pPr>
        <w:pStyle w:val="Normal"/>
        <w:rPr>
          <w:sz w:val="24"/>
          <w:szCs w:val="24"/>
        </w:rPr>
      </w:pPr>
      <w:r>
        <w:rPr>
          <w:bCs/>
          <w:sz w:val="24"/>
          <w:szCs w:val="24"/>
          <w:lang w:val="el-GR"/>
        </w:rPr>
        <w:t xml:space="preserve">Η εν λόγω σειρίδα-ταινία ράβεται με τέτοιο τρόπο ώστε να είναι ισοκατανεμημένη και να ισαπέχει από τα άκρα του διακριτικού (κατά την έννοια του μήκους / ύψους του) καταλαμβάνοντας </w:t>
      </w:r>
      <w:r>
        <w:rPr>
          <w:b/>
          <w:bCs/>
          <w:sz w:val="24"/>
          <w:szCs w:val="24"/>
          <w:u w:val="single"/>
          <w:lang w:val="el-GR"/>
        </w:rPr>
        <w:t>το μέσο αυτού</w:t>
      </w:r>
      <w:r>
        <w:rPr>
          <w:b/>
          <w:bCs/>
          <w:sz w:val="24"/>
          <w:szCs w:val="24"/>
          <w:u w:val="none"/>
          <w:lang w:val="el-GR"/>
        </w:rPr>
        <w:t xml:space="preserve"> </w:t>
      </w:r>
      <w:r>
        <w:rPr>
          <w:bCs/>
          <w:sz w:val="24"/>
          <w:szCs w:val="24"/>
          <w:lang w:val="el-GR"/>
        </w:rPr>
        <w:t xml:space="preserve">(όπως παρουσιάζεται και στις Εικόνες </w:t>
      </w:r>
      <w:r>
        <w:rPr>
          <w:bCs/>
          <w:sz w:val="24"/>
          <w:szCs w:val="24"/>
          <w:lang w:val="en-US"/>
        </w:rPr>
        <w:t>V</w:t>
      </w:r>
      <w:r>
        <w:rPr>
          <w:bCs/>
          <w:sz w:val="24"/>
          <w:szCs w:val="24"/>
          <w:lang w:val="el-GR"/>
        </w:rPr>
        <w:t xml:space="preserve"> και </w:t>
      </w:r>
      <w:r>
        <w:rPr>
          <w:bCs/>
          <w:sz w:val="24"/>
          <w:szCs w:val="24"/>
          <w:lang w:val="en-US"/>
        </w:rPr>
        <w:t>V</w:t>
      </w:r>
      <w:r>
        <w:rPr>
          <w:bCs/>
          <w:sz w:val="24"/>
          <w:szCs w:val="24"/>
          <w:lang w:val="el-GR"/>
        </w:rPr>
        <w:t xml:space="preserve">Ι της ανωτέρω § 4.2.1). </w:t>
      </w:r>
    </w:p>
    <w:p>
      <w:pPr>
        <w:pStyle w:val="Normal"/>
        <w:rPr>
          <w:sz w:val="24"/>
          <w:szCs w:val="24"/>
        </w:rPr>
      </w:pPr>
      <w:r>
        <w:rPr>
          <w:b w:val="false"/>
          <w:bCs w:val="false"/>
          <w:sz w:val="24"/>
          <w:szCs w:val="24"/>
          <w:lang w:val="el-GR"/>
        </w:rPr>
        <w:t xml:space="preserve">Το συνολικό ύψος </w:t>
      </w:r>
      <w:r>
        <w:rPr>
          <w:b w:val="false"/>
          <w:bCs w:val="false"/>
          <w:sz w:val="24"/>
          <w:szCs w:val="24"/>
          <w:lang w:val="en-US"/>
        </w:rPr>
        <w:t>(</w:t>
      </w:r>
      <w:r>
        <w:rPr>
          <w:b w:val="false"/>
          <w:bCs w:val="false"/>
          <w:sz w:val="24"/>
          <w:szCs w:val="24"/>
          <w:lang w:val="el-GR"/>
        </w:rPr>
        <w:t xml:space="preserve">κατακόρυφο μήκος) του συμπλέγματος του διακριτικού του διόπου είναι περίπου 60 - 65 </w:t>
      </w:r>
      <w:r>
        <w:rPr>
          <w:b w:val="false"/>
          <w:bCs w:val="false"/>
          <w:sz w:val="24"/>
          <w:szCs w:val="24"/>
          <w:lang w:val="en-US"/>
        </w:rPr>
        <w:t xml:space="preserve">mm, </w:t>
      </w:r>
      <w:r>
        <w:rPr>
          <w:b w:val="false"/>
          <w:bCs w:val="false"/>
          <w:sz w:val="24"/>
          <w:szCs w:val="24"/>
          <w:lang w:val="el-GR"/>
        </w:rPr>
        <w:t xml:space="preserve">ενώ το ύψος του συμπλέγματος του διακριτικού του ναύτη είναι 45-50 </w:t>
      </w:r>
      <w:r>
        <w:rPr>
          <w:b w:val="false"/>
          <w:bCs w:val="false"/>
          <w:sz w:val="24"/>
          <w:szCs w:val="24"/>
          <w:lang w:val="en-US"/>
        </w:rPr>
        <w:t xml:space="preserve">mm. </w:t>
      </w:r>
    </w:p>
    <w:p>
      <w:pPr>
        <w:pStyle w:val="Normal"/>
        <w:rPr>
          <w:sz w:val="24"/>
          <w:szCs w:val="24"/>
        </w:rPr>
      </w:pPr>
      <w:r>
        <w:rPr>
          <w:sz w:val="24"/>
          <w:szCs w:val="24"/>
        </w:rPr>
      </w:r>
    </w:p>
    <w:p>
      <w:pPr>
        <w:pStyle w:val="Normal"/>
        <w:rPr>
          <w:sz w:val="24"/>
          <w:szCs w:val="24"/>
          <w:lang w:val="el-GR"/>
        </w:rPr>
      </w:pPr>
      <w:r>
        <w:rPr>
          <w:b/>
          <w:bCs/>
          <w:sz w:val="24"/>
          <w:szCs w:val="24"/>
          <w:lang w:val="en-US"/>
        </w:rPr>
        <w:t>4.3.5</w:t>
      </w:r>
      <w:r>
        <w:rPr>
          <w:bCs/>
          <w:sz w:val="24"/>
          <w:szCs w:val="24"/>
          <w:lang w:val="el-GR"/>
        </w:rPr>
        <w:t xml:space="preserve"> </w:t>
      </w:r>
      <w:r>
        <w:rPr>
          <w:b/>
          <w:bCs/>
          <w:sz w:val="24"/>
          <w:szCs w:val="24"/>
          <w:lang w:val="el-GR"/>
        </w:rPr>
        <w:t xml:space="preserve">Ειδικότητες Διακριτικού </w:t>
      </w:r>
    </w:p>
    <w:p>
      <w:pPr>
        <w:pStyle w:val="Normal"/>
        <w:rPr>
          <w:b/>
          <w:bCs/>
          <w:sz w:val="24"/>
          <w:szCs w:val="24"/>
          <w:lang w:val="el-GR"/>
        </w:rPr>
      </w:pPr>
      <w:r>
        <w:rPr>
          <w:b/>
          <w:bCs/>
          <w:sz w:val="24"/>
          <w:szCs w:val="24"/>
          <w:lang w:val="el-GR"/>
        </w:rPr>
        <w:t>4.3.5.1</w:t>
      </w:r>
      <w:r>
        <w:rPr>
          <w:sz w:val="24"/>
          <w:szCs w:val="24"/>
          <w:lang w:val="el-GR"/>
        </w:rPr>
        <w:t xml:space="preserve"> Οι ειδικότητες όλων των κατηγοριών των διακριτικών του προσωπικού θα κατασκευάζονται (κεντώνται) με κατάλληλη πολυκέφαλη κεντητική μηχανή με χρυσοκίτρινη κλωστή της § 4.2.4 για τους υπαξιωματικούς και κόκκινη κλωστή της ίδιας παραγράφου για τους ΕΠ.ΟΠ και τους Ν/Δ. Τα σχέδια και η μορφή τους παρουσιάζονται στην Εικόνα </w:t>
      </w:r>
      <w:r>
        <w:rPr>
          <w:sz w:val="24"/>
          <w:szCs w:val="24"/>
          <w:lang w:val="en-US"/>
        </w:rPr>
        <w:t>VI</w:t>
      </w:r>
      <w:r>
        <w:rPr>
          <w:sz w:val="24"/>
          <w:szCs w:val="24"/>
          <w:lang w:val="el-GR"/>
        </w:rPr>
        <w:t>Ι της ανωτέρω § 4.2.1.</w:t>
      </w:r>
    </w:p>
    <w:p>
      <w:pPr>
        <w:pStyle w:val="Normal"/>
        <w:rPr>
          <w:rFonts w:cs="Arial"/>
          <w:sz w:val="24"/>
          <w:szCs w:val="24"/>
          <w:lang w:val="el-GR"/>
        </w:rPr>
      </w:pPr>
      <w:r>
        <w:rPr>
          <w:rFonts w:cs="Arial"/>
          <w:b/>
          <w:bCs/>
          <w:sz w:val="24"/>
          <w:szCs w:val="24"/>
          <w:lang w:val="el-GR"/>
        </w:rPr>
        <w:t xml:space="preserve">4.3.5.2 </w:t>
      </w:r>
      <w:r>
        <w:rPr>
          <w:rFonts w:cs="Arial"/>
          <w:sz w:val="24"/>
          <w:szCs w:val="24"/>
          <w:lang w:val="el-GR"/>
        </w:rPr>
        <w:t xml:space="preserve">Περιγραφή (λεπτομέρειες) κατασκευής ειδικοτήτων και τεχνών των διακριτικών </w:t>
      </w:r>
    </w:p>
    <w:p>
      <w:pPr>
        <w:pStyle w:val="Normal"/>
        <w:rPr>
          <w:rFonts w:cs="Arial"/>
          <w:b/>
          <w:sz w:val="24"/>
          <w:szCs w:val="24"/>
          <w:lang w:val="el-GR"/>
        </w:rPr>
      </w:pPr>
      <w:r>
        <w:rPr>
          <w:rFonts w:cs="Arial"/>
          <w:sz w:val="24"/>
          <w:szCs w:val="24"/>
          <w:lang w:val="el-GR"/>
        </w:rPr>
        <w:t xml:space="preserve">Οι ακόλουθες περιγραφές παρέχουν τις «βασικές» διαστάσεις των ειδικοτήτων και των τεχνών. Τα σχέδια που αντιστοιχούν στις περιγραφές αυτές, παρουσιάζονται στην  Εικόνα </w:t>
      </w:r>
      <w:r>
        <w:rPr>
          <w:rFonts w:cs="Arial"/>
          <w:sz w:val="24"/>
          <w:szCs w:val="24"/>
          <w:lang w:val="en-US"/>
        </w:rPr>
        <w:t>VI</w:t>
      </w:r>
      <w:r>
        <w:rPr>
          <w:rFonts w:cs="Arial"/>
          <w:sz w:val="24"/>
          <w:szCs w:val="24"/>
          <w:lang w:val="el-GR"/>
        </w:rPr>
        <w:t>Ι της § 4.2.1. Για όλες τις ακόλουθες διαστάσεις των ειδικοτήτων και τεχνών δίνεται       ανοχή ± 1 mm.</w:t>
      </w:r>
    </w:p>
    <w:p>
      <w:pPr>
        <w:pStyle w:val="Normal"/>
        <w:rPr>
          <w:rFonts w:cs="Arial"/>
          <w:b/>
          <w:sz w:val="24"/>
          <w:szCs w:val="24"/>
          <w:lang w:val="el-GR"/>
        </w:rPr>
      </w:pPr>
      <w:r>
        <w:rPr>
          <w:rFonts w:cs="Arial"/>
          <w:sz w:val="24"/>
          <w:szCs w:val="24"/>
          <w:lang w:val="el-GR"/>
        </w:rPr>
        <w:t xml:space="preserve">Μέσα στις παρενθέσεις αναγράφεται η εν συντομία περιγραφή της ειδικότητας όπως είθισται στο ΠΝ για λόγους εύκολης διάκρισης (αλλά και γλωσσικής διευκόλυνσης). </w:t>
      </w:r>
    </w:p>
    <w:p>
      <w:pPr>
        <w:pStyle w:val="Normal"/>
        <w:rPr>
          <w:rFonts w:cs="Arial"/>
          <w:b/>
          <w:sz w:val="24"/>
          <w:szCs w:val="24"/>
          <w:lang w:val="el-GR"/>
        </w:rPr>
      </w:pPr>
      <w:r>
        <w:rPr>
          <w:rFonts w:cs="Arial"/>
          <w:b/>
          <w:sz w:val="24"/>
          <w:szCs w:val="24"/>
          <w:lang w:val="el-GR"/>
        </w:rPr>
        <w:t xml:space="preserve">4.3.5.2.1 </w:t>
      </w:r>
      <w:r>
        <w:rPr>
          <w:rFonts w:cs="Arial"/>
          <w:sz w:val="24"/>
          <w:szCs w:val="24"/>
          <w:lang w:val="el-GR"/>
        </w:rPr>
        <w:t>Αρμενιστή (ΑΡΜ): Άγκυρα ύψους 12 mm και πλάτους 9 mm (μετρούμενη στη βάση της) στην οποία περιτυλίσσεται σχοινί.</w:t>
      </w:r>
    </w:p>
    <w:p>
      <w:pPr>
        <w:pStyle w:val="Normal"/>
        <w:rPr>
          <w:rFonts w:cs="Arial"/>
          <w:b/>
          <w:sz w:val="24"/>
          <w:szCs w:val="24"/>
          <w:lang w:val="el-GR"/>
        </w:rPr>
      </w:pPr>
      <w:r>
        <w:rPr>
          <w:rFonts w:cs="Arial"/>
          <w:b/>
          <w:sz w:val="24"/>
          <w:szCs w:val="24"/>
          <w:lang w:val="el-GR"/>
        </w:rPr>
        <w:t xml:space="preserve">4.3.5.2.2 </w:t>
      </w:r>
      <w:r>
        <w:rPr>
          <w:rFonts w:cs="Arial"/>
          <w:sz w:val="24"/>
          <w:szCs w:val="24"/>
          <w:lang w:val="el-GR"/>
        </w:rPr>
        <w:t>Διαχειριστής (ΔΙΑΧ): Δύο (2) κυρτά φτερά (γραφίδες) ύψους και μέγιστου πλάτους 12 mm (μετρούμενο στην κορυφή) που διασταυρώνονται οι κάτω άκρες τους.</w:t>
      </w:r>
    </w:p>
    <w:p>
      <w:pPr>
        <w:pStyle w:val="Normal"/>
        <w:rPr>
          <w:rFonts w:cs="Arial"/>
          <w:b/>
          <w:sz w:val="24"/>
          <w:szCs w:val="24"/>
          <w:lang w:val="el-GR"/>
        </w:rPr>
      </w:pPr>
      <w:r>
        <w:rPr>
          <w:rFonts w:cs="Arial"/>
          <w:b/>
          <w:sz w:val="24"/>
          <w:szCs w:val="24"/>
          <w:lang w:val="el-GR"/>
        </w:rPr>
        <w:t xml:space="preserve">4.3.5.2.3 </w:t>
      </w:r>
      <w:r>
        <w:rPr>
          <w:rFonts w:cs="Arial"/>
          <w:sz w:val="24"/>
          <w:szCs w:val="24"/>
          <w:lang w:val="el-GR"/>
        </w:rPr>
        <w:t>Διοικητικής Υποστήριξης: Ένας δακτύλιος με εξωτερική διάμετρο 11 mm και εσωτερική διάμετρο 10 mm και εντός αυτού στο κέντρο του ένας συμπαγής κύκλος με διάμετρο 3-4 mm.</w:t>
      </w:r>
    </w:p>
    <w:p>
      <w:pPr>
        <w:pStyle w:val="Normal"/>
        <w:rPr>
          <w:rFonts w:cs="Arial"/>
          <w:b/>
          <w:sz w:val="24"/>
          <w:szCs w:val="24"/>
          <w:lang w:val="el-GR"/>
        </w:rPr>
      </w:pPr>
      <w:r>
        <w:rPr>
          <w:rFonts w:cs="Arial"/>
          <w:b/>
          <w:sz w:val="24"/>
          <w:szCs w:val="24"/>
          <w:lang w:val="el-GR"/>
        </w:rPr>
        <w:t xml:space="preserve">4.3.5.2.4 </w:t>
      </w:r>
      <w:r>
        <w:rPr>
          <w:rFonts w:cs="Arial"/>
          <w:sz w:val="24"/>
          <w:szCs w:val="24"/>
          <w:lang w:val="el-GR"/>
        </w:rPr>
        <w:t>Επιχειρήσεων / Επικοινωνιών (Ε/Ε): Δύο ομόκεντροι κύκλοι με διάμετρο 12 και 11 mm. Ο μικρότερος κύκλος έχει άγκυρα με σχοινί ύψους 4 - 5 mm. Από το μεγαλύτερο κύκλο ξεκινούν τρεις τεθλασμένες γραμμές και από τις δύο πλευρές του (εκατέρωθεν) που απολήγουν σε μικρό βέλος. Η άκρη των βελών απέχει 4 έως 5 mm περίπου από την περιφέρεια του μεγάλου κύκλου.</w:t>
      </w:r>
    </w:p>
    <w:p>
      <w:pPr>
        <w:pStyle w:val="Normal"/>
        <w:rPr>
          <w:rFonts w:cs="Arial"/>
          <w:b/>
          <w:sz w:val="24"/>
          <w:szCs w:val="24"/>
          <w:lang w:val="el-GR"/>
        </w:rPr>
      </w:pPr>
      <w:r>
        <w:rPr>
          <w:rFonts w:cs="Arial"/>
          <w:b/>
          <w:sz w:val="24"/>
          <w:szCs w:val="24"/>
          <w:lang w:val="el-GR"/>
        </w:rPr>
        <w:t xml:space="preserve">4.3.5.2.5 </w:t>
      </w:r>
      <w:r>
        <w:rPr>
          <w:rFonts w:cs="Arial"/>
          <w:b w:val="false"/>
          <w:bCs w:val="false"/>
          <w:sz w:val="24"/>
          <w:szCs w:val="24"/>
          <w:lang w:val="el-GR"/>
        </w:rPr>
        <w:t>Εσχαρέας (Μάγειρας) (ΕΣΧ): Δύο (2) ομόκεντροι κύκλοι με διάμετρο 12 και 11 mm. Ο μικρότερος κύκλος φέρει στο εσωτερικό πλέγμα από 5 κάθετες και 5 οριζόντιες γραμμές.</w:t>
      </w:r>
    </w:p>
    <w:p>
      <w:pPr>
        <w:pStyle w:val="Normal"/>
        <w:rPr>
          <w:rFonts w:cs="Arial"/>
          <w:b/>
          <w:sz w:val="24"/>
          <w:szCs w:val="24"/>
          <w:lang w:val="el-GR"/>
        </w:rPr>
      </w:pPr>
      <w:r>
        <w:rPr>
          <w:rFonts w:cs="Arial"/>
          <w:b/>
          <w:sz w:val="24"/>
          <w:szCs w:val="24"/>
          <w:lang w:val="el-GR"/>
        </w:rPr>
        <w:t xml:space="preserve">4.3.5.2.6 </w:t>
      </w:r>
      <w:r>
        <w:rPr>
          <w:rFonts w:cs="Arial"/>
          <w:sz w:val="24"/>
          <w:szCs w:val="24"/>
          <w:lang w:val="el-GR"/>
        </w:rPr>
        <w:t>Ηλεκτρολόγος (Η/Λ): Σύμπλεγμα από ανοιχτό διαβήτη και έλικα με τρία πτερύγια. Τρεις τεθλασμένες γραμμές ανάμεσά τους καταλήγουν σε μικρό βέλος. Το μήκος των σκελών του διαβήτη είναι 12 - 11 mm και η κάτω (μέγιστη) απόσταση τους 10 mm. Τα πτερύγια απέχουν 4 - 5 mm από την περιφέρεια του κύκλου στο μέσο του έλικα, η διάμετρος του οποίου είναι περίπου 3 - 4 mm.</w:t>
      </w:r>
    </w:p>
    <w:p>
      <w:pPr>
        <w:pStyle w:val="Normal"/>
        <w:rPr>
          <w:rFonts w:cs="Arial"/>
          <w:b/>
          <w:sz w:val="24"/>
          <w:szCs w:val="24"/>
          <w:lang w:val="el-GR"/>
        </w:rPr>
      </w:pPr>
      <w:r>
        <w:rPr>
          <w:rFonts w:cs="Arial"/>
          <w:b/>
          <w:sz w:val="24"/>
          <w:szCs w:val="24"/>
          <w:lang w:val="el-GR"/>
        </w:rPr>
        <w:t xml:space="preserve">4.3.5.2.7 </w:t>
      </w:r>
      <w:r>
        <w:rPr>
          <w:rFonts w:cs="Arial"/>
          <w:sz w:val="24"/>
          <w:szCs w:val="24"/>
          <w:lang w:val="el-GR"/>
        </w:rPr>
        <w:t>Ηλεκτρονικός Υπολογιστών και Δικτύων (ΗΥ/Δ): Δύο ομόκεντροι κύκλοι με διάμετρο 8 και 6 mm μέσα σε ανοιχτό διαβήτη. Ο μικρότερος κύκλος έχει άγκυρα με σχοινί  ύψους 4-5 mm. Από το μεγαλύτερο κύκλο ξεκινούν τρεις τεθλασμένες γραμμές και από τις δύο πλευρές του (εκατέρωθεν) που απολήγουν σε μικρό βέλος. Η άκρη των βελών απέχει          4 - 5 mm από την περιφέρεια του μεγάλου κύκλου. Το μήκος των σκελών του διαβήτη είναι 12 mm και η κάτω (μέγιστη) απόσταση τους 10 mm.</w:t>
      </w:r>
    </w:p>
    <w:p>
      <w:pPr>
        <w:pStyle w:val="Normal"/>
        <w:rPr>
          <w:rFonts w:cs="Arial"/>
          <w:b/>
          <w:sz w:val="24"/>
          <w:szCs w:val="24"/>
          <w:lang w:val="el-GR"/>
        </w:rPr>
      </w:pPr>
      <w:r>
        <w:rPr>
          <w:rFonts w:cs="Arial"/>
          <w:b/>
          <w:sz w:val="24"/>
          <w:szCs w:val="24"/>
          <w:lang w:val="el-GR"/>
        </w:rPr>
        <w:t xml:space="preserve">4.3.5.2.8 </w:t>
      </w:r>
      <w:r>
        <w:rPr>
          <w:rFonts w:cs="Arial"/>
          <w:sz w:val="24"/>
          <w:szCs w:val="24"/>
          <w:lang w:val="el-GR"/>
        </w:rPr>
        <w:t>Μουσικός (ΜΟΥΣ): Λύρα ύψους 12 mm και πλάτους 12 mm. Η λύρα φέρει 4 χορδές μήκους περίπου 10 mm.</w:t>
      </w:r>
    </w:p>
    <w:p>
      <w:pPr>
        <w:pStyle w:val="Normal"/>
        <w:rPr>
          <w:rFonts w:cs="Arial"/>
          <w:b/>
          <w:sz w:val="24"/>
          <w:szCs w:val="24"/>
          <w:lang w:val="el-GR"/>
        </w:rPr>
      </w:pPr>
      <w:r>
        <w:rPr>
          <w:rFonts w:cs="Arial"/>
          <w:b/>
          <w:sz w:val="24"/>
          <w:szCs w:val="24"/>
          <w:lang w:val="el-GR"/>
        </w:rPr>
        <w:t xml:space="preserve">4.3.5.2.9 </w:t>
      </w:r>
      <w:r>
        <w:rPr>
          <w:rFonts w:cs="Arial"/>
          <w:b w:val="false"/>
          <w:bCs w:val="false"/>
          <w:sz w:val="24"/>
          <w:szCs w:val="24"/>
          <w:lang w:val="el-GR"/>
        </w:rPr>
        <w:t>Σχεδιαστής (ΣΧΕΔ):</w:t>
      </w:r>
      <w:r>
        <w:rPr>
          <w:rFonts w:cs="Arial"/>
          <w:sz w:val="24"/>
          <w:szCs w:val="24"/>
          <w:lang w:val="el-GR"/>
        </w:rPr>
        <w:t xml:space="preserve"> Σύμπλεγμα από δύο όργανα σχεδιάσεως, ταυ και ορθογωνίου τριγώνου. Το τρίγωνο έχει μήκος υποτείνουσας 12 mm και μικρή κάθετη πλευρά 8 mm και το ταυ έχει μήκος 100 mm και το ύψος (στο δεξί του άκρο) 8 mm.</w:t>
      </w:r>
    </w:p>
    <w:p>
      <w:pPr>
        <w:pStyle w:val="Normal"/>
        <w:rPr>
          <w:rFonts w:cs="Arial"/>
          <w:b/>
          <w:sz w:val="24"/>
          <w:szCs w:val="24"/>
          <w:lang w:val="el-GR"/>
        </w:rPr>
      </w:pPr>
      <w:r>
        <w:rPr>
          <w:rFonts w:cs="Arial"/>
          <w:b/>
          <w:sz w:val="24"/>
          <w:szCs w:val="24"/>
          <w:lang w:val="el-GR"/>
        </w:rPr>
        <w:t xml:space="preserve">4.3.5.2.10 </w:t>
      </w:r>
      <w:r>
        <w:rPr>
          <w:rFonts w:cs="Arial"/>
          <w:sz w:val="24"/>
          <w:szCs w:val="24"/>
          <w:lang w:val="el-GR"/>
        </w:rPr>
        <w:t>Τεχνικός Ηλεκτρονικών Συστημάτων (Τ/ΗΝ): Σύμπλεγμα από πυξίδα, οριζόντια τεθλασμένη γραμμή και ανοικτό διαβήτη. Η πυξίδα έχει εξωτερική διάμετρο 12 mm και εσωτερική 11 mm. Η περιφέρεια της έχει αποτύπωση των οκτώ σημείων του ορίζοντα και η βελόνα της έχει σχήμα ρόμβου μήκους περίπου 8 mm. Η οριζόντια τεθλασμένη γραμμή απολήγει δεξιά σε βέλος. Το μήκος των σκελών του διαβήτη είναι 12 mm και η κάτω (μέγιστη) απόσταση τους 9 - 10 mm.</w:t>
      </w:r>
    </w:p>
    <w:p>
      <w:pPr>
        <w:pStyle w:val="Normal"/>
        <w:rPr>
          <w:rFonts w:cs="Arial"/>
          <w:b/>
          <w:sz w:val="24"/>
          <w:szCs w:val="24"/>
          <w:lang w:val="el-GR"/>
        </w:rPr>
      </w:pPr>
      <w:r>
        <w:rPr>
          <w:rFonts w:cs="Arial"/>
          <w:b/>
          <w:sz w:val="24"/>
          <w:szCs w:val="24"/>
          <w:lang w:val="el-GR"/>
        </w:rPr>
        <w:t xml:space="preserve">4.3.5.2.11 </w:t>
      </w:r>
      <w:r>
        <w:rPr>
          <w:rFonts w:cs="Arial"/>
          <w:sz w:val="24"/>
          <w:szCs w:val="24"/>
          <w:lang w:val="el-GR"/>
        </w:rPr>
        <w:t>Τεχνικός Μηχανολογικών Συστημάτων (Τ/ΜΗΧ): Έλικας με τρία πτερύγια που έχουν μεγαλύτερο πλάτος 5 mm. Αυτά απέχουν 5-6 mm από την περιφέρεια του κύκλου στο μέσο του έλικα η διάμετρος του οποίου είναι 5 mm.</w:t>
      </w:r>
    </w:p>
    <w:p>
      <w:pPr>
        <w:pStyle w:val="Normal"/>
        <w:rPr>
          <w:rFonts w:cs="Arial"/>
          <w:b/>
          <w:sz w:val="24"/>
          <w:szCs w:val="24"/>
          <w:lang w:val="el-GR"/>
        </w:rPr>
      </w:pPr>
      <w:r>
        <w:rPr>
          <w:rFonts w:cs="Arial"/>
          <w:b/>
          <w:sz w:val="24"/>
          <w:szCs w:val="24"/>
          <w:lang w:val="el-GR"/>
        </w:rPr>
        <w:t xml:space="preserve">4.3.5.2.12 </w:t>
      </w:r>
      <w:r>
        <w:rPr>
          <w:rFonts w:cs="Arial"/>
          <w:sz w:val="24"/>
          <w:szCs w:val="24"/>
          <w:lang w:val="el-GR"/>
        </w:rPr>
        <w:t>Τεχνικός Συνεργείων (Τ/ΣΥΝ): Σύμπλεγμα από ορθογώνιο τρίγωνο με μήκος υποτείνουσας 12 mm και ανοικτό διαβήτη.  Το μήκος των σκελών του διαβήτη είναι 12 mm και η κάτω (μέγιστη) απόσταση τους 9 - 10 mm.</w:t>
      </w:r>
    </w:p>
    <w:p>
      <w:pPr>
        <w:pStyle w:val="Normal"/>
        <w:rPr>
          <w:b/>
          <w:bCs/>
          <w:sz w:val="24"/>
          <w:szCs w:val="24"/>
          <w:lang w:val="el-GR"/>
        </w:rPr>
      </w:pPr>
      <w:r>
        <w:rPr>
          <w:rFonts w:cs="Arial"/>
          <w:b/>
          <w:sz w:val="24"/>
          <w:szCs w:val="24"/>
          <w:lang w:val="el-GR"/>
        </w:rPr>
        <w:t xml:space="preserve">4.3.5.2.13 </w:t>
      </w:r>
      <w:r>
        <w:rPr>
          <w:rFonts w:cs="Arial"/>
          <w:sz w:val="24"/>
          <w:szCs w:val="24"/>
          <w:lang w:val="el-GR"/>
        </w:rPr>
        <w:t>Τεχνίτης Όπλων (Τ/ΟΠΛ): Οριζόντιος σωλήνας όλμου μήκους 12 mm ο οποίος διέρχεται από ανοικτό διαβήτη. Το μήκος των σκελών του διαβήτη είναι περίπου 12 mm και η κάτω (μέγιστη) απόσταση τους 9 - 10 mm.</w:t>
      </w:r>
    </w:p>
    <w:p>
      <w:pPr>
        <w:pStyle w:val="Normal"/>
        <w:rPr>
          <w:b/>
          <w:bCs/>
          <w:sz w:val="24"/>
          <w:szCs w:val="24"/>
          <w:lang w:val="el-GR"/>
        </w:rPr>
      </w:pPr>
      <w:r>
        <w:rPr>
          <w:b/>
          <w:bCs/>
          <w:sz w:val="24"/>
          <w:szCs w:val="24"/>
          <w:lang w:val="el-GR"/>
        </w:rPr>
        <w:t>4.3.5.2.14</w:t>
      </w:r>
      <w:r>
        <w:rPr>
          <w:sz w:val="24"/>
          <w:szCs w:val="24"/>
          <w:lang w:val="el-GR"/>
        </w:rPr>
        <w:t xml:space="preserve"> Βοηθός Νοσηλευτικής (Β/ΝΟΣ): Ένας δακτύλιος </w:t>
      </w:r>
      <w:r>
        <w:rPr>
          <w:rFonts w:cs="Arial"/>
          <w:sz w:val="24"/>
          <w:szCs w:val="24"/>
          <w:lang w:val="el-GR"/>
        </w:rPr>
        <w:t>με εξωτερική διάμετρο 12 mm και εσωτερική διάμετρο 11mm</w:t>
      </w:r>
      <w:r>
        <w:rPr>
          <w:sz w:val="24"/>
          <w:szCs w:val="24"/>
          <w:lang w:val="el-GR"/>
        </w:rPr>
        <w:t>. Εντός του εσωτερικού κύκλου ράβεται (με κόκκινη κλωστή) ισουψής σταυρός  περίπου 10 mm και πάχος πλευρών 1,5 - 2,0 mm.</w:t>
      </w:r>
    </w:p>
    <w:p>
      <w:pPr>
        <w:pStyle w:val="Normal"/>
        <w:rPr>
          <w:rFonts w:cs="Arial"/>
          <w:b/>
          <w:bCs/>
          <w:sz w:val="24"/>
          <w:szCs w:val="24"/>
          <w:lang w:val="el-GR"/>
        </w:rPr>
      </w:pPr>
      <w:r>
        <w:rPr>
          <w:b/>
          <w:bCs/>
          <w:sz w:val="24"/>
          <w:szCs w:val="24"/>
          <w:lang w:val="el-GR"/>
        </w:rPr>
        <w:t>4.3.5.2.15</w:t>
      </w:r>
      <w:r>
        <w:rPr>
          <w:b w:val="false"/>
          <w:bCs w:val="false"/>
          <w:sz w:val="24"/>
          <w:szCs w:val="24"/>
          <w:lang w:val="el-GR"/>
        </w:rPr>
        <w:t xml:space="preserve"> Φυσικοθεραπευτής (ΦΥΣ/Θ): Μία μορφή μωρού που περιβάλλεται (περιστοιχίζεται) από δύο παλάμες χεριών (με τον αντίχειρα στραμμένο προς τα πάνω) με ύψος και πλάτος 12 </w:t>
      </w:r>
      <w:r>
        <w:rPr>
          <w:b w:val="false"/>
          <w:bCs w:val="false"/>
          <w:sz w:val="24"/>
          <w:szCs w:val="24"/>
          <w:lang w:val="en-US"/>
        </w:rPr>
        <w:t>mm</w:t>
      </w:r>
      <w:r>
        <w:rPr>
          <w:b w:val="false"/>
          <w:bCs w:val="false"/>
          <w:sz w:val="24"/>
          <w:szCs w:val="24"/>
          <w:lang w:val="el-GR"/>
        </w:rPr>
        <w:t>. Η μορφή του μωρού είναι συμπαγής και ράβεται (κεντάται) με μαύρη κλωστή.</w:t>
      </w:r>
    </w:p>
    <w:p>
      <w:pPr>
        <w:pStyle w:val="Normal"/>
        <w:rPr>
          <w:rFonts w:cs="Arial"/>
          <w:b/>
          <w:bCs/>
          <w:sz w:val="24"/>
          <w:szCs w:val="24"/>
          <w:lang w:val="el-GR"/>
        </w:rPr>
      </w:pPr>
      <w:r>
        <w:rPr>
          <w:rFonts w:cs="Arial"/>
          <w:b/>
          <w:bCs/>
          <w:sz w:val="24"/>
          <w:szCs w:val="24"/>
          <w:lang w:val="el-GR"/>
        </w:rPr>
        <w:t xml:space="preserve">4.3.5.2.16 </w:t>
      </w:r>
      <w:r>
        <w:rPr>
          <w:rFonts w:cs="Arial"/>
          <w:b w:val="false"/>
          <w:bCs w:val="false"/>
          <w:sz w:val="24"/>
          <w:szCs w:val="24"/>
          <w:lang w:val="el-GR"/>
        </w:rPr>
        <w:t xml:space="preserve">Ιατρός – Οδοντίατρος (ΙΑΤ): Ράβδος στην οποία περιτυλίσσεται φίδι με το κεφάλι του στραμμένο προς τ’ αριστερά. Το ύψος του συμπλέγματος είναι 11 - 12 </w:t>
      </w:r>
      <w:r>
        <w:rPr>
          <w:rFonts w:cs="Arial"/>
          <w:b w:val="false"/>
          <w:bCs w:val="false"/>
          <w:sz w:val="24"/>
          <w:szCs w:val="24"/>
          <w:lang w:val="en-US"/>
        </w:rPr>
        <w:t>mm</w:t>
      </w:r>
      <w:r>
        <w:rPr>
          <w:rFonts w:cs="Arial"/>
          <w:b w:val="false"/>
          <w:bCs w:val="false"/>
          <w:sz w:val="24"/>
          <w:szCs w:val="24"/>
          <w:lang w:val="el-GR"/>
        </w:rPr>
        <w:t xml:space="preserve"> και το πλάτος (μέγιστο) 10 - 11  </w:t>
      </w:r>
      <w:r>
        <w:rPr>
          <w:rFonts w:cs="Arial"/>
          <w:b w:val="false"/>
          <w:bCs w:val="false"/>
          <w:sz w:val="24"/>
          <w:szCs w:val="24"/>
          <w:lang w:val="en-US"/>
        </w:rPr>
        <w:t>mm</w:t>
      </w:r>
      <w:r>
        <w:rPr>
          <w:rFonts w:cs="Arial"/>
          <w:b w:val="false"/>
          <w:bCs w:val="false"/>
          <w:sz w:val="24"/>
          <w:szCs w:val="24"/>
          <w:lang w:val="el-GR"/>
        </w:rPr>
        <w:t>.</w:t>
      </w:r>
    </w:p>
    <w:p>
      <w:pPr>
        <w:pStyle w:val="Normal"/>
        <w:rPr>
          <w:rFonts w:cs="Arial"/>
          <w:b/>
          <w:bCs/>
          <w:sz w:val="24"/>
          <w:szCs w:val="24"/>
          <w:lang w:val="el-GR"/>
        </w:rPr>
      </w:pPr>
      <w:r>
        <w:rPr>
          <w:rFonts w:cs="Arial"/>
          <w:b/>
          <w:bCs/>
          <w:sz w:val="24"/>
          <w:szCs w:val="24"/>
          <w:lang w:val="el-GR"/>
        </w:rPr>
        <w:t>4.3.5.2.17</w:t>
      </w:r>
      <w:r>
        <w:rPr>
          <w:rFonts w:cs="Arial"/>
          <w:b w:val="false"/>
          <w:bCs w:val="false"/>
          <w:sz w:val="24"/>
          <w:szCs w:val="24"/>
          <w:lang w:val="el-GR"/>
        </w:rPr>
        <w:t xml:space="preserve"> Οδηγός (τροχοφόρων οχημάτων, ΟΔΗΓ):Ένα δακτύλιος εξωτερικής διαμέτρου 12 </w:t>
      </w:r>
      <w:r>
        <w:rPr>
          <w:rFonts w:cs="Arial"/>
          <w:b w:val="false"/>
          <w:bCs w:val="false"/>
          <w:sz w:val="24"/>
          <w:szCs w:val="24"/>
          <w:lang w:val="en-US"/>
        </w:rPr>
        <w:t>mm</w:t>
      </w:r>
      <w:r>
        <w:rPr>
          <w:rFonts w:cs="Arial"/>
          <w:b w:val="false"/>
          <w:bCs w:val="false"/>
          <w:sz w:val="24"/>
          <w:szCs w:val="24"/>
          <w:lang w:val="el-GR"/>
        </w:rPr>
        <w:t xml:space="preserve">, και εσωτερικής (διαμέτρου) 11 </w:t>
      </w:r>
      <w:r>
        <w:rPr>
          <w:rFonts w:cs="Arial"/>
          <w:b w:val="false"/>
          <w:bCs w:val="false"/>
          <w:sz w:val="24"/>
          <w:szCs w:val="24"/>
          <w:lang w:val="en-US"/>
        </w:rPr>
        <w:t>mm</w:t>
      </w:r>
      <w:r>
        <w:rPr>
          <w:rFonts w:cs="Arial"/>
          <w:b w:val="false"/>
          <w:bCs w:val="false"/>
          <w:sz w:val="24"/>
          <w:szCs w:val="24"/>
          <w:lang w:val="el-GR"/>
        </w:rPr>
        <w:t xml:space="preserve"> στο κέντρο του οποίου υπάρχει ένα συμπαγής κύκλος διαμέτρου 2-3 </w:t>
      </w:r>
      <w:r>
        <w:rPr>
          <w:rFonts w:cs="Arial"/>
          <w:b w:val="false"/>
          <w:bCs w:val="false"/>
          <w:sz w:val="24"/>
          <w:szCs w:val="24"/>
          <w:lang w:val="en-US"/>
        </w:rPr>
        <w:t>mm</w:t>
      </w:r>
      <w:r>
        <w:rPr>
          <w:rFonts w:cs="Arial"/>
          <w:b w:val="false"/>
          <w:bCs w:val="false"/>
          <w:sz w:val="24"/>
          <w:szCs w:val="24"/>
          <w:lang w:val="el-GR"/>
        </w:rPr>
        <w:t xml:space="preserve">. Από την περιφέρεια του εσωτερικού κύκλου ξεκινούν οκτώ ακτίνες που καταλήγουν στην εσωτερική περιφέρεια του δακτυλίου και ισαπέχουν μεταξύ τους. Το πάχος των ακτίνων είναι περίπου 1,0 έως 1,5 </w:t>
      </w:r>
      <w:r>
        <w:rPr>
          <w:rFonts w:cs="Arial"/>
          <w:b w:val="false"/>
          <w:bCs w:val="false"/>
          <w:sz w:val="24"/>
          <w:szCs w:val="24"/>
          <w:lang w:val="en-US"/>
        </w:rPr>
        <w:t>mm</w:t>
      </w:r>
      <w:r>
        <w:rPr>
          <w:rFonts w:cs="Arial"/>
          <w:b w:val="false"/>
          <w:bCs w:val="false"/>
          <w:sz w:val="24"/>
          <w:szCs w:val="24"/>
          <w:lang w:val="el-GR"/>
        </w:rPr>
        <w:t>.</w:t>
      </w:r>
    </w:p>
    <w:p>
      <w:pPr>
        <w:pStyle w:val="Normal"/>
        <w:rPr>
          <w:rFonts w:cs="Arial"/>
          <w:b/>
          <w:bCs/>
          <w:sz w:val="24"/>
          <w:szCs w:val="24"/>
          <w:lang w:val="el-GR"/>
        </w:rPr>
      </w:pPr>
      <w:r>
        <w:rPr>
          <w:rFonts w:cs="Arial"/>
          <w:b/>
          <w:bCs/>
          <w:sz w:val="24"/>
          <w:szCs w:val="24"/>
          <w:lang w:val="el-GR"/>
        </w:rPr>
      </w:r>
    </w:p>
    <w:p>
      <w:pPr>
        <w:pStyle w:val="Normal"/>
        <w:rPr>
          <w:rFonts w:cs="Arial"/>
          <w:b/>
          <w:bCs/>
          <w:sz w:val="24"/>
          <w:szCs w:val="24"/>
          <w:lang w:val="el-GR"/>
        </w:rPr>
      </w:pPr>
      <w:r>
        <w:rPr>
          <w:rFonts w:cs="Arial"/>
          <w:b/>
          <w:bCs/>
          <w:sz w:val="24"/>
          <w:szCs w:val="24"/>
          <w:u w:val="single"/>
          <w:lang w:val="el-GR"/>
        </w:rPr>
        <w:t>Σημείωση:</w:t>
      </w:r>
      <w:r>
        <w:rPr>
          <w:rFonts w:cs="Arial"/>
          <w:b w:val="false"/>
          <w:bCs w:val="false"/>
          <w:sz w:val="24"/>
          <w:szCs w:val="24"/>
          <w:lang w:val="el-GR"/>
        </w:rPr>
        <w:t xml:space="preserve"> Οι ανωτέρω διαστάσεις των ειδικοτήτων είναι ενδεικτικές και όχι δεσμευτικές για την ραφή- κατασκευή τους. </w:t>
      </w:r>
    </w:p>
    <w:p>
      <w:pPr>
        <w:pStyle w:val="Normal"/>
        <w:rPr>
          <w:rFonts w:cs="Arial"/>
          <w:b/>
          <w:bCs/>
          <w:sz w:val="24"/>
          <w:szCs w:val="24"/>
          <w:lang w:val="el-GR"/>
        </w:rPr>
      </w:pPr>
      <w:r>
        <w:rPr>
          <w:rFonts w:cs="Arial"/>
          <w:b w:val="false"/>
          <w:bCs w:val="false"/>
          <w:sz w:val="24"/>
          <w:szCs w:val="24"/>
          <w:lang w:val="el-GR"/>
        </w:rPr>
        <w:t xml:space="preserve">Η τελική μορφή των σχεδίων ειδικοτήτων και τεχνών δύναται να διαφέρει ώστε αυτές (κατά περίπτωση) να αποτυπώνονται με </w:t>
      </w:r>
      <w:r>
        <w:rPr>
          <w:rFonts w:cs="Arial"/>
          <w:b/>
          <w:bCs/>
          <w:sz w:val="24"/>
          <w:szCs w:val="24"/>
          <w:u w:val="single"/>
          <w:lang w:val="el-GR"/>
        </w:rPr>
        <w:t>το καλύτερο δυνατό βαθμό</w:t>
      </w:r>
      <w:r>
        <w:rPr>
          <w:rFonts w:cs="Arial"/>
          <w:b w:val="false"/>
          <w:bCs w:val="false"/>
          <w:sz w:val="24"/>
          <w:szCs w:val="24"/>
          <w:lang w:val="el-GR"/>
        </w:rPr>
        <w:t xml:space="preserve"> και το </w:t>
      </w:r>
      <w:r>
        <w:rPr>
          <w:rFonts w:cs="Arial"/>
          <w:b/>
          <w:bCs/>
          <w:sz w:val="24"/>
          <w:szCs w:val="24"/>
          <w:u w:val="single"/>
          <w:lang w:val="el-GR"/>
        </w:rPr>
        <w:t>βέλτιστο αισθητικό αποτέλεσμα</w:t>
      </w:r>
      <w:r>
        <w:rPr>
          <w:rFonts w:cs="Arial"/>
          <w:b w:val="false"/>
          <w:bCs w:val="false"/>
          <w:sz w:val="24"/>
          <w:szCs w:val="24"/>
          <w:lang w:val="el-GR"/>
        </w:rPr>
        <w:t xml:space="preserve"> με βάση τα επιμέρους σχέδια της Εικόνας </w:t>
      </w:r>
      <w:r>
        <w:rPr>
          <w:rFonts w:cs="Arial"/>
          <w:b w:val="false"/>
          <w:bCs w:val="false"/>
          <w:sz w:val="24"/>
          <w:szCs w:val="24"/>
          <w:lang w:val="en-US"/>
        </w:rPr>
        <w:t xml:space="preserve">VII </w:t>
      </w:r>
      <w:r>
        <w:rPr>
          <w:rFonts w:cs="Arial"/>
          <w:b w:val="false"/>
          <w:bCs w:val="false"/>
          <w:sz w:val="24"/>
          <w:szCs w:val="24"/>
          <w:lang w:val="el-GR"/>
        </w:rPr>
        <w:t>της παρούσας ΠΕΔ.</w:t>
      </w:r>
    </w:p>
    <w:p>
      <w:pPr>
        <w:pStyle w:val="Normal"/>
        <w:rPr>
          <w:highlight w:val="none"/>
          <w:shd w:fill="auto" w:val="clear"/>
        </w:rPr>
      </w:pPr>
      <w:r>
        <w:rPr>
          <w:shd w:fill="auto" w:val="clear"/>
        </w:rPr>
      </w:r>
    </w:p>
    <w:p>
      <w:pPr>
        <w:pStyle w:val="Normal"/>
        <w:rPr>
          <w:highlight w:val="none"/>
          <w:shd w:fill="auto" w:val="clear"/>
        </w:rPr>
      </w:pPr>
      <w:r>
        <w:rPr>
          <w:b/>
          <w:sz w:val="24"/>
          <w:szCs w:val="24"/>
          <w:shd w:fill="auto" w:val="clear"/>
          <w:lang w:val="en-US"/>
        </w:rPr>
        <w:t>4.3.4</w:t>
      </w:r>
      <w:r>
        <w:rPr>
          <w:b/>
          <w:sz w:val="24"/>
          <w:szCs w:val="24"/>
          <w:shd w:fill="auto" w:val="clear"/>
        </w:rPr>
        <w:t xml:space="preserve"> </w:t>
      </w:r>
      <w:r>
        <w:rPr>
          <w:sz w:val="24"/>
          <w:szCs w:val="24"/>
          <w:shd w:fill="auto" w:val="clear"/>
        </w:rPr>
        <w:t xml:space="preserve">Επίσημο Δείγμα Υπηρεσίας </w:t>
      </w:r>
    </w:p>
    <w:p>
      <w:pPr>
        <w:pStyle w:val="Normal"/>
        <w:rPr>
          <w:highlight w:val="none"/>
          <w:shd w:fill="auto" w:val="clear"/>
        </w:rPr>
      </w:pPr>
      <w:r>
        <w:rPr>
          <w:b/>
          <w:sz w:val="24"/>
          <w:szCs w:val="24"/>
          <w:shd w:fill="auto" w:val="clear"/>
          <w:lang w:val="en-US"/>
        </w:rPr>
        <w:t>4.3.4.1</w:t>
      </w:r>
      <w:r>
        <w:rPr>
          <w:sz w:val="24"/>
          <w:szCs w:val="24"/>
          <w:shd w:fill="auto" w:val="clear"/>
        </w:rPr>
        <w:t xml:space="preserve"> Με το Επίσημο Δείγμα της Υπηρεσίας </w:t>
      </w:r>
      <w:r>
        <w:rPr>
          <w:b/>
          <w:bCs/>
          <w:sz w:val="24"/>
          <w:szCs w:val="24"/>
          <w:u w:val="single"/>
          <w:shd w:fill="auto" w:val="clear"/>
        </w:rPr>
        <w:t>εφόσον αυτό υφίσταται,</w:t>
      </w:r>
      <w:r>
        <w:rPr>
          <w:sz w:val="24"/>
          <w:szCs w:val="24"/>
          <w:shd w:fill="auto" w:val="clear"/>
        </w:rPr>
        <w:t xml:space="preserve"> προσδιορίζεται ο χρωματισμός του </w:t>
      </w:r>
      <w:r>
        <w:rPr>
          <w:sz w:val="24"/>
          <w:szCs w:val="24"/>
          <w:shd w:fill="auto" w:val="clear"/>
          <w:lang w:val="el-GR"/>
        </w:rPr>
        <w:t>διακριτικού (του μαύρου υφάσματος και του χρυσού γαλονιού</w:t>
      </w:r>
      <w:r>
        <w:rPr>
          <w:sz w:val="24"/>
          <w:szCs w:val="24"/>
          <w:shd w:fill="auto" w:val="clear"/>
        </w:rPr>
        <w:t>, ο τρόπος ραφής - κατασκευής του και η γενικότερη μακροσκοπική εμφάνιση αυτού: ευκαμψία, αφή, καθαρότητα, φινίρισμα κ.λπ. και γενικά ισχύει μόνο για τα χαρακτηριστικά τα οποία αναφέρονται στην επ’ αυτού αναρτημένη καρτέλα.</w:t>
      </w:r>
    </w:p>
    <w:p>
      <w:pPr>
        <w:pStyle w:val="Normal"/>
        <w:rPr>
          <w:highlight w:val="none"/>
          <w:shd w:fill="auto" w:val="clear"/>
        </w:rPr>
      </w:pPr>
      <w:r>
        <w:rPr>
          <w:color w:val="000000"/>
          <w:sz w:val="24"/>
          <w:szCs w:val="24"/>
          <w:shd w:fill="auto" w:val="clear"/>
        </w:rPr>
        <w:t xml:space="preserve">Σημείωση: Το Επίσημο Δείγμα (ομοίως, εφόσον αυτό υφίσταται) κατά το χρόνο εκτέλεσης του εκάστοτε μειοδοτικού διαγωνισμού θα βρίσκεται στο χώρο της αρμόδιας για το διαγωνισμό Υπηρεσίας. Οι υποψήφιοι προμηθευτές θα μπορούν να επισκεφτούν την Υπηρεσία και θα έχουν την δυνατότητα και ευχέρεια  να το μελετήσουν και να το εξετάσουν επί τόπου. </w:t>
      </w:r>
    </w:p>
    <w:p>
      <w:pPr>
        <w:pStyle w:val="Normal"/>
        <w:rPr>
          <w:highlight w:val="none"/>
          <w:shd w:fill="auto" w:val="clear"/>
        </w:rPr>
      </w:pPr>
      <w:r>
        <w:rPr>
          <w:b/>
          <w:sz w:val="24"/>
          <w:szCs w:val="24"/>
          <w:shd w:fill="auto" w:val="clear"/>
        </w:rPr>
        <w:t>4.3.4.2</w:t>
      </w:r>
      <w:r>
        <w:rPr>
          <w:sz w:val="24"/>
          <w:szCs w:val="24"/>
          <w:shd w:fill="auto" w:val="clear"/>
        </w:rPr>
        <w:t xml:space="preserve"> Η Υπηρεσία παρέχει με απόδειξη στον μειοδότη κατασκευαστή με υποχρέωση επιστροφής του, το Επίσημο Δείγμα του διακριτικού (ομοίως, εφόσον αυτό υφίσταται), το οποίο θα χρησιμοποιηθεί για την κατασκευή του περιγραφόμενου είδους. Το ανωτέρω Επίσημο Δείγμα λειτουργεί επικουρικά των §§ 4.2.1 έως  και 4.3.3 της παρούσης ΠΕΔ σε ότι αφορά τις λεπτομέρειες κατασκευής.</w:t>
      </w:r>
    </w:p>
    <w:p>
      <w:pPr>
        <w:pStyle w:val="Normal"/>
        <w:rPr>
          <w:highlight w:val="none"/>
          <w:shd w:fill="auto" w:val="clear"/>
        </w:rPr>
      </w:pPr>
      <w:r>
        <w:rPr>
          <w:rFonts w:cs="Arial"/>
          <w:b/>
          <w:bCs/>
          <w:sz w:val="24"/>
          <w:szCs w:val="24"/>
          <w:shd w:fill="auto" w:val="clear"/>
          <w:lang w:val="el-GR"/>
        </w:rPr>
        <w:t xml:space="preserve">4.3.4.3 </w:t>
      </w:r>
      <w:r>
        <w:rPr>
          <w:rFonts w:cs="Arial"/>
          <w:b w:val="false"/>
          <w:bCs w:val="false"/>
          <w:sz w:val="24"/>
          <w:szCs w:val="24"/>
          <w:shd w:fill="auto" w:val="clear"/>
          <w:lang w:val="el-GR"/>
        </w:rPr>
        <w:t>Όταν υπάρχουν ασυμφωνίες μεταξύ των διαφόρων τεχνικών χαρακτηριστικών της ΠΕΔ και του Επίσημου Δείγματος, που δεν διευκρινίζονται αλλού στην παραπάνω καρτέλα, κατισχύουν τα χαρακτηριστικά της ΠΕΔ. Οπωσδήποτε το Δείγμα Υπηρεσίας δεν ισχύει για τυχόν υπάρχουσες σ’ αυτό κακοτεχνίες και ελαττώματα.</w:t>
      </w:r>
    </w:p>
    <w:p>
      <w:pPr>
        <w:pStyle w:val="Normal"/>
        <w:rPr>
          <w:rFonts w:cs="Arial"/>
          <w:b w:val="false"/>
          <w:bCs w:val="false"/>
          <w:sz w:val="24"/>
          <w:szCs w:val="24"/>
          <w:lang w:val="el-GR"/>
        </w:rPr>
      </w:pPr>
      <w:r>
        <w:rPr>
          <w:rFonts w:cs="Arial"/>
          <w:b w:val="false"/>
          <w:bCs w:val="false"/>
          <w:sz w:val="24"/>
          <w:szCs w:val="24"/>
          <w:lang w:val="el-GR"/>
        </w:rPr>
      </w:r>
    </w:p>
    <w:p>
      <w:pPr>
        <w:pStyle w:val="Style14"/>
        <w:numPr>
          <w:ilvl w:val="0"/>
          <w:numId w:val="0"/>
        </w:numPr>
        <w:spacing w:before="0" w:after="0"/>
        <w:ind w:hanging="0" w:start="0"/>
        <w:rPr>
          <w:b/>
          <w:sz w:val="24"/>
          <w:szCs w:val="24"/>
          <w:shd w:fill="auto" w:val="clear"/>
        </w:rPr>
      </w:pPr>
      <w:r>
        <w:rPr>
          <w:b/>
          <w:sz w:val="24"/>
          <w:szCs w:val="24"/>
          <w:shd w:fill="auto" w:val="clear"/>
        </w:rPr>
        <w:t xml:space="preserve">4.4 Απαιτήσεις Νομοθεσίας </w:t>
      </w:r>
    </w:p>
    <w:p>
      <w:pPr>
        <w:pStyle w:val="Style14"/>
        <w:numPr>
          <w:ilvl w:val="0"/>
          <w:numId w:val="0"/>
        </w:numPr>
        <w:spacing w:before="0" w:after="0"/>
        <w:ind w:hanging="0" w:start="0"/>
        <w:rPr>
          <w:b w:val="false"/>
          <w:bCs w:val="false"/>
        </w:rPr>
      </w:pPr>
      <w:r>
        <w:rPr>
          <w:rFonts w:cs="Arial"/>
          <w:b w:val="false"/>
          <w:bCs w:val="false"/>
          <w:sz w:val="24"/>
          <w:szCs w:val="24"/>
          <w:shd w:fill="auto" w:val="clear"/>
          <w:lang w:val="el-GR"/>
        </w:rPr>
        <w:t xml:space="preserve">Ουσίες που θεωρούνται επιβλαβείς για την υγεία του χρήστη και περιλαμβάνονται στο Παράρτημα </w:t>
      </w:r>
      <w:r>
        <w:rPr>
          <w:rFonts w:cs="Arial"/>
          <w:b w:val="false"/>
          <w:bCs w:val="false"/>
          <w:sz w:val="24"/>
          <w:szCs w:val="24"/>
          <w:shd w:fill="auto" w:val="clear"/>
          <w:lang w:val="en-US"/>
        </w:rPr>
        <w:t>XVII</w:t>
      </w:r>
      <w:r>
        <w:rPr>
          <w:rFonts w:cs="Arial"/>
          <w:b w:val="false"/>
          <w:bCs w:val="false"/>
          <w:sz w:val="24"/>
          <w:szCs w:val="24"/>
          <w:shd w:fill="auto" w:val="clear"/>
          <w:lang w:val="el-GR"/>
        </w:rPr>
        <w:t xml:space="preserve"> του Κανονισμού §2.1.1 και τυχόν περιέχονται στα υλικά που θα χρησιμοποιηθούν για την κατασκευή των περαστών διακριτικών βαθμού και ειδικοτήτων των υπαξιωματικών, τότε αυτές θα πληρούν τις διατάξεις του εν λόγω κανονισμού.</w:t>
      </w:r>
    </w:p>
    <w:p>
      <w:pPr>
        <w:pStyle w:val="Normal"/>
        <w:rPr>
          <w:b w:val="false"/>
          <w:bCs w:val="false"/>
        </w:rPr>
      </w:pPr>
      <w:r>
        <w:rPr>
          <w:b w:val="false"/>
          <w:bCs w:val="false"/>
        </w:rPr>
      </w:r>
    </w:p>
    <w:p>
      <w:pPr>
        <w:pStyle w:val="Normal"/>
        <w:rPr>
          <w:rFonts w:cs="Arial"/>
          <w:b/>
          <w:sz w:val="24"/>
          <w:szCs w:val="24"/>
          <w:lang w:val="el-GR"/>
        </w:rPr>
      </w:pPr>
      <w:r>
        <w:rPr>
          <w:rFonts w:cs="Arial"/>
          <w:b/>
          <w:sz w:val="24"/>
          <w:szCs w:val="24"/>
          <w:lang w:val="el-GR"/>
        </w:rPr>
        <w:t>5 ΣΥΣΚΕΥΑΣΙΑ - ΕΠΙΣΗΜΑΝΣΕΙΣ</w:t>
      </w:r>
    </w:p>
    <w:p>
      <w:pPr>
        <w:pStyle w:val="Normal"/>
        <w:rPr>
          <w:rFonts w:cs="Arial"/>
          <w:b/>
          <w:sz w:val="24"/>
          <w:szCs w:val="24"/>
          <w:lang w:val="el-GR"/>
        </w:rPr>
      </w:pPr>
      <w:r>
        <w:rPr>
          <w:rFonts w:cs="Arial"/>
          <w:b/>
          <w:sz w:val="24"/>
          <w:szCs w:val="24"/>
          <w:lang w:val="el-GR"/>
        </w:rPr>
        <w:t>5.1 Συσκευασία</w:t>
      </w:r>
    </w:p>
    <w:p>
      <w:pPr>
        <w:pStyle w:val="Normal"/>
        <w:rPr>
          <w:sz w:val="24"/>
          <w:szCs w:val="24"/>
        </w:rPr>
      </w:pPr>
      <w:r>
        <w:rPr>
          <w:rFonts w:cs="Arial"/>
          <w:b/>
          <w:sz w:val="24"/>
          <w:szCs w:val="24"/>
          <w:lang w:val="el-GR"/>
        </w:rPr>
        <w:t xml:space="preserve">5.1.1 </w:t>
      </w:r>
      <w:r>
        <w:rPr>
          <w:rFonts w:cs="Arial"/>
          <w:b w:val="false"/>
          <w:bCs w:val="false"/>
          <w:sz w:val="24"/>
          <w:szCs w:val="24"/>
          <w:lang w:val="el-GR"/>
        </w:rPr>
        <w:t>Πρωτογενής συσκευασία</w:t>
      </w:r>
      <w:r>
        <w:rPr>
          <w:rFonts w:cs="Arial"/>
          <w:b/>
          <w:sz w:val="24"/>
          <w:szCs w:val="24"/>
          <w:lang w:val="el-GR"/>
        </w:rPr>
        <w:t xml:space="preserve"> </w:t>
      </w:r>
    </w:p>
    <w:p>
      <w:pPr>
        <w:pStyle w:val="Normal"/>
        <w:rPr>
          <w:sz w:val="24"/>
          <w:szCs w:val="24"/>
        </w:rPr>
      </w:pPr>
      <w:r>
        <w:rPr>
          <w:rFonts w:cs="Arial"/>
          <w:sz w:val="24"/>
          <w:szCs w:val="24"/>
          <w:lang w:val="el-GR"/>
        </w:rPr>
        <w:t>Διακριτικά ίδιου βαθμού (ίδιου τύπου) και ίδιας ειδικότητας δύναται να συσκευάζονται μέσα σε διαφανή πλαστική ανθεκτική σακούλα κατά μέγιστο αριθμό 10 τεμαχίων.</w:t>
      </w:r>
    </w:p>
    <w:p>
      <w:pPr>
        <w:pStyle w:val="Normal"/>
        <w:jc w:val="both"/>
        <w:rPr>
          <w:sz w:val="24"/>
          <w:szCs w:val="24"/>
        </w:rPr>
      </w:pPr>
      <w:r>
        <w:rPr>
          <w:rFonts w:cs="Arial"/>
          <w:b/>
          <w:sz w:val="24"/>
          <w:szCs w:val="24"/>
          <w:lang w:val="el-GR"/>
        </w:rPr>
        <w:t xml:space="preserve">5.1.2 </w:t>
      </w:r>
      <w:r>
        <w:rPr>
          <w:rFonts w:cs="Arial"/>
          <w:sz w:val="24"/>
          <w:szCs w:val="24"/>
          <w:lang w:val="el-GR"/>
        </w:rPr>
        <w:t xml:space="preserve">Δευτερογενής συσκευασία </w:t>
      </w:r>
    </w:p>
    <w:p>
      <w:pPr>
        <w:pStyle w:val="Normal"/>
        <w:jc w:val="both"/>
        <w:rPr>
          <w:rFonts w:cs="Arial"/>
          <w:b/>
          <w:sz w:val="24"/>
          <w:szCs w:val="24"/>
          <w:lang w:val="el-GR"/>
        </w:rPr>
      </w:pPr>
      <w:r>
        <w:rPr>
          <w:rFonts w:cs="Arial"/>
          <w:sz w:val="24"/>
          <w:szCs w:val="24"/>
          <w:lang w:val="el-GR"/>
        </w:rPr>
        <w:t>Κατάλληλος αριθμός πρωτογενών συσκευασιών θα τοποθετούνται μέσα σε κατάλληλο χαρτοκιβώτιο ανθεκτικό στη μεταφορά και την αποθήκευση, το οποίο θα κλείνει με κατάλληλη μονωτική ταινία συσκευασίας. Το χαρτοκιβώτιο δευτερογενούς συσκευασίας θα κατασκευάζεται από πεντάφυλλο χαρτόνι με ελάχιστο βάρος 700 g/m</w:t>
      </w:r>
      <w:r>
        <w:rPr>
          <w:rFonts w:cs="Arial"/>
          <w:sz w:val="24"/>
          <w:szCs w:val="24"/>
          <w:vertAlign w:val="superscript"/>
          <w:lang w:val="el-GR"/>
        </w:rPr>
        <w:t>2</w:t>
      </w:r>
      <w:r>
        <w:rPr>
          <w:rFonts w:cs="Arial"/>
          <w:sz w:val="24"/>
          <w:szCs w:val="24"/>
          <w:lang w:val="el-GR"/>
        </w:rPr>
        <w:t>, σε σχήμα ορθογωνίου παραλληλεπίπεδου με σιδερένιους συνδετήρες πάχους 2 mm και μήκους 14 mm και σε πυκνότητα ενός συνδετήρα ανά 3-4 cm μήκους. Είναι επιθυμητό το χαρτόνι να έχει παρασκευαστεί με τέτοιο τρόπο ώστε τα εσωτερικά του τρία (3) φύλλα να είναι εμποτισμένα με παραφίνη δια της μεθόδου του ψεκασμού.</w:t>
      </w:r>
    </w:p>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t>5.2 Επισημάνσεις</w:t>
      </w:r>
    </w:p>
    <w:p>
      <w:pPr>
        <w:pStyle w:val="Normal"/>
        <w:rPr/>
      </w:pPr>
      <w:r>
        <w:rPr>
          <w:rFonts w:cs="Arial"/>
          <w:b/>
          <w:sz w:val="24"/>
          <w:szCs w:val="24"/>
          <w:lang w:val="el-GR"/>
        </w:rPr>
        <w:t xml:space="preserve">5.2.1 </w:t>
      </w:r>
      <w:r>
        <w:rPr>
          <w:rFonts w:cs="Arial"/>
          <w:sz w:val="24"/>
          <w:szCs w:val="24"/>
          <w:lang w:val="el-GR"/>
        </w:rPr>
        <w:t>Επισημάνσεις πρωτογενούς συσκευασίας</w:t>
      </w:r>
    </w:p>
    <w:p>
      <w:pPr>
        <w:pStyle w:val="Normal"/>
        <w:rPr>
          <w:rFonts w:cs="Arial"/>
          <w:b/>
          <w:sz w:val="24"/>
          <w:szCs w:val="24"/>
          <w:lang w:val="el-GR"/>
        </w:rPr>
      </w:pPr>
      <w:r>
        <w:rPr>
          <w:rFonts w:cs="Arial"/>
          <w:sz w:val="24"/>
          <w:szCs w:val="24"/>
          <w:lang w:val="el-GR"/>
        </w:rPr>
        <w:t>Σε κάθε συσκευασία θα αναγράφονται οι παρακάτω τουλάχιστον επισημάνσεις:</w:t>
      </w:r>
    </w:p>
    <w:p>
      <w:pPr>
        <w:pStyle w:val="Normal"/>
        <w:rPr>
          <w:rFonts w:cs="Arial"/>
          <w:b/>
          <w:sz w:val="24"/>
          <w:szCs w:val="24"/>
          <w:lang w:val="el-GR"/>
        </w:rPr>
      </w:pPr>
      <w:r>
        <w:rPr>
          <w:rFonts w:cs="Arial"/>
          <w:b/>
          <w:sz w:val="24"/>
          <w:szCs w:val="24"/>
          <w:lang w:val="el-GR"/>
        </w:rPr>
        <w:t>5.2.1.1</w:t>
      </w:r>
      <w:r>
        <w:rPr>
          <w:rFonts w:cs="Arial"/>
          <w:sz w:val="24"/>
          <w:szCs w:val="24"/>
          <w:lang w:val="el-GR"/>
        </w:rPr>
        <w:t xml:space="preserve"> Περιγραφή του υλικού (π.χ. Περαστά Διακριτικά Αρμενιστή Κελευστή ΣΜΥΝ ).</w:t>
      </w:r>
    </w:p>
    <w:p>
      <w:pPr>
        <w:pStyle w:val="Normal"/>
        <w:rPr/>
      </w:pPr>
      <w:r>
        <w:rPr>
          <w:rFonts w:cs="Arial"/>
          <w:b/>
          <w:sz w:val="24"/>
          <w:szCs w:val="24"/>
          <w:lang w:val="el-GR"/>
        </w:rPr>
        <w:t>5.2.1.2</w:t>
      </w:r>
      <w:r>
        <w:rPr>
          <w:rFonts w:cs="Arial"/>
          <w:sz w:val="24"/>
          <w:szCs w:val="24"/>
          <w:lang w:val="el-GR"/>
        </w:rPr>
        <w:t xml:space="preserve"> ΝΑΤ υλικού, ως Πίνακες Ταξινόμησης Ι και ΙΙ της συνημμένης Προσθήκης ΙΙ.</w:t>
      </w:r>
    </w:p>
    <w:p>
      <w:pPr>
        <w:pStyle w:val="Normal"/>
        <w:rPr>
          <w:rFonts w:cs="Arial"/>
          <w:b/>
          <w:sz w:val="24"/>
          <w:szCs w:val="24"/>
          <w:lang w:val="el-GR"/>
        </w:rPr>
      </w:pPr>
      <w:r>
        <w:rPr>
          <w:rFonts w:cs="Arial"/>
          <w:b/>
          <w:sz w:val="24"/>
          <w:szCs w:val="24"/>
          <w:lang w:val="el-GR"/>
        </w:rPr>
        <w:t>5.2.1.3</w:t>
      </w:r>
      <w:r>
        <w:rPr>
          <w:rFonts w:cs="Arial"/>
          <w:sz w:val="24"/>
          <w:szCs w:val="24"/>
          <w:lang w:val="el-GR"/>
        </w:rPr>
        <w:t xml:space="preserve"> Εμπορικό σήμα ή επωνυμία του κατασκευαστή ή του προμηθευτή. </w:t>
      </w:r>
    </w:p>
    <w:p>
      <w:pPr>
        <w:pStyle w:val="Normal"/>
        <w:rPr>
          <w:rFonts w:cs="Arial"/>
          <w:b/>
          <w:sz w:val="24"/>
          <w:szCs w:val="24"/>
          <w:lang w:val="el-GR"/>
        </w:rPr>
      </w:pPr>
      <w:r>
        <w:rPr>
          <w:rFonts w:cs="Arial"/>
          <w:b/>
          <w:sz w:val="24"/>
          <w:szCs w:val="24"/>
          <w:lang w:val="el-GR"/>
        </w:rPr>
      </w:r>
    </w:p>
    <w:p>
      <w:pPr>
        <w:pStyle w:val="Normal"/>
        <w:rPr>
          <w:rFonts w:cs="Arial"/>
          <w:sz w:val="24"/>
          <w:szCs w:val="24"/>
          <w:lang w:val="el-GR"/>
        </w:rPr>
      </w:pPr>
      <w:r>
        <w:rPr>
          <w:rFonts w:cs="Arial"/>
          <w:b/>
          <w:sz w:val="24"/>
          <w:szCs w:val="24"/>
          <w:lang w:val="el-GR"/>
        </w:rPr>
        <w:t>5.2.2</w:t>
      </w:r>
      <w:r>
        <w:rPr>
          <w:rFonts w:cs="Arial"/>
          <w:sz w:val="24"/>
          <w:szCs w:val="24"/>
          <w:lang w:val="el-GR"/>
        </w:rPr>
        <w:t xml:space="preserve"> Επισημάνσεις δευτερογενούς συσκευασίας</w:t>
      </w:r>
    </w:p>
    <w:p>
      <w:pPr>
        <w:pStyle w:val="Normal"/>
        <w:rPr>
          <w:rFonts w:cs="Arial"/>
          <w:b/>
          <w:sz w:val="24"/>
          <w:szCs w:val="24"/>
          <w:lang w:val="el-GR"/>
        </w:rPr>
      </w:pPr>
      <w:r>
        <w:rPr>
          <w:rFonts w:cs="Arial"/>
          <w:sz w:val="24"/>
          <w:szCs w:val="24"/>
          <w:lang w:val="el-GR"/>
        </w:rPr>
        <w:t>Στο εξωτερικό μέρος και σε εμφανές σημείο αυτής, θα αναγράφονται τα παρακάτω:</w:t>
      </w:r>
    </w:p>
    <w:p>
      <w:pPr>
        <w:pStyle w:val="Normal"/>
        <w:rPr>
          <w:rFonts w:cs="Arial"/>
          <w:b/>
          <w:sz w:val="24"/>
          <w:szCs w:val="24"/>
          <w:lang w:val="el-GR"/>
        </w:rPr>
      </w:pPr>
      <w:r>
        <w:rPr>
          <w:rFonts w:cs="Arial"/>
          <w:b/>
          <w:sz w:val="24"/>
          <w:szCs w:val="24"/>
          <w:lang w:val="el-GR"/>
        </w:rPr>
        <w:t>5.2.2.1</w:t>
      </w:r>
      <w:r>
        <w:rPr>
          <w:rFonts w:cs="Arial"/>
          <w:sz w:val="24"/>
          <w:szCs w:val="24"/>
          <w:lang w:val="el-GR"/>
        </w:rPr>
        <w:t xml:space="preserve"> Περιγραφή του υλικού (π.χ.Περαστά Διακριτικά Αρμενιστή Κελευστή) .</w:t>
      </w:r>
    </w:p>
    <w:p>
      <w:pPr>
        <w:pStyle w:val="Normal"/>
        <w:rPr>
          <w:rFonts w:cs="Arial"/>
          <w:b/>
          <w:sz w:val="24"/>
          <w:szCs w:val="24"/>
          <w:lang w:val="el-GR"/>
        </w:rPr>
      </w:pPr>
      <w:r>
        <w:rPr>
          <w:rFonts w:cs="Arial"/>
          <w:b/>
          <w:sz w:val="24"/>
          <w:szCs w:val="24"/>
          <w:lang w:val="el-GR"/>
        </w:rPr>
        <w:t>5.2.2.2</w:t>
      </w:r>
      <w:r>
        <w:rPr>
          <w:rFonts w:cs="Arial"/>
          <w:sz w:val="24"/>
          <w:szCs w:val="24"/>
          <w:lang w:val="el-GR"/>
        </w:rPr>
        <w:t xml:space="preserve"> Κωδικός ΠΕΔ </w:t>
      </w:r>
    </w:p>
    <w:p>
      <w:pPr>
        <w:pStyle w:val="Normal"/>
        <w:rPr>
          <w:rFonts w:cs="Arial"/>
          <w:b/>
          <w:sz w:val="24"/>
          <w:szCs w:val="24"/>
          <w:lang w:val="el-GR"/>
        </w:rPr>
      </w:pPr>
      <w:r>
        <w:rPr>
          <w:rFonts w:cs="Arial"/>
          <w:b/>
          <w:sz w:val="24"/>
          <w:szCs w:val="24"/>
          <w:lang w:val="el-GR"/>
        </w:rPr>
        <w:t>5.2.2.3</w:t>
      </w:r>
      <w:r>
        <w:rPr>
          <w:rFonts w:cs="Arial"/>
          <w:sz w:val="24"/>
          <w:szCs w:val="24"/>
          <w:lang w:val="el-GR"/>
        </w:rPr>
        <w:t xml:space="preserve"> ΝΑΤ υλικού, ως Πίνακες Ταξινόμησης Ι και ΙΙ της συνημμένης Προσθήκης ΙΙ.</w:t>
      </w:r>
    </w:p>
    <w:p>
      <w:pPr>
        <w:pStyle w:val="Normal"/>
        <w:rPr>
          <w:rFonts w:cs="Arial"/>
          <w:b/>
          <w:sz w:val="24"/>
          <w:szCs w:val="24"/>
          <w:lang w:val="el-GR"/>
        </w:rPr>
      </w:pPr>
      <w:r>
        <w:rPr>
          <w:rFonts w:cs="Arial"/>
          <w:b/>
          <w:sz w:val="24"/>
          <w:szCs w:val="24"/>
          <w:lang w:val="el-GR"/>
        </w:rPr>
        <w:t>5.2.2.4</w:t>
      </w:r>
      <w:r>
        <w:rPr>
          <w:rFonts w:cs="Arial"/>
          <w:sz w:val="24"/>
          <w:szCs w:val="24"/>
          <w:lang w:val="el-GR"/>
        </w:rPr>
        <w:t xml:space="preserve"> Αριθμός και έτος σύμβασης.</w:t>
      </w:r>
    </w:p>
    <w:p>
      <w:pPr>
        <w:pStyle w:val="Normal"/>
        <w:rPr>
          <w:rFonts w:cs="Arial"/>
          <w:b/>
          <w:sz w:val="24"/>
          <w:szCs w:val="24"/>
          <w:lang w:val="el-GR"/>
        </w:rPr>
      </w:pPr>
      <w:r>
        <w:rPr>
          <w:rFonts w:cs="Arial"/>
          <w:b/>
          <w:sz w:val="24"/>
          <w:szCs w:val="24"/>
          <w:lang w:val="el-GR"/>
        </w:rPr>
        <w:t>5.2.2.5</w:t>
      </w:r>
      <w:r>
        <w:rPr>
          <w:rFonts w:cs="Arial"/>
          <w:sz w:val="24"/>
          <w:szCs w:val="24"/>
          <w:lang w:val="el-GR"/>
        </w:rPr>
        <w:t xml:space="preserve"> Εμπορικό σήμα ή επωνυμία του κατασκευαστή και του προμηθευτή εφόσον διαφέρουν.</w:t>
      </w:r>
    </w:p>
    <w:p>
      <w:pPr>
        <w:pStyle w:val="Normal"/>
        <w:rPr>
          <w:rFonts w:cs="Arial"/>
          <w:b/>
          <w:sz w:val="24"/>
          <w:szCs w:val="24"/>
          <w:lang w:val="el-GR"/>
        </w:rPr>
      </w:pPr>
      <w:r>
        <w:rPr>
          <w:rFonts w:cs="Arial"/>
          <w:b/>
          <w:sz w:val="24"/>
          <w:szCs w:val="24"/>
          <w:lang w:val="el-GR"/>
        </w:rPr>
        <w:t>5.2.2.6</w:t>
      </w:r>
      <w:r>
        <w:rPr>
          <w:rFonts w:cs="Arial"/>
          <w:sz w:val="24"/>
          <w:szCs w:val="24"/>
          <w:lang w:val="el-GR"/>
        </w:rPr>
        <w:t xml:space="preserve"> Αριθμός περιεχόμενων διακριτικών.</w:t>
      </w:r>
    </w:p>
    <w:p>
      <w:pPr>
        <w:pStyle w:val="Normal"/>
        <w:rPr>
          <w:rFonts w:cs="Arial"/>
          <w:b/>
          <w:sz w:val="24"/>
          <w:szCs w:val="24"/>
          <w:lang w:val="el-GR"/>
        </w:rPr>
      </w:pPr>
      <w:r>
        <w:rPr>
          <w:rFonts w:cs="Arial"/>
          <w:b/>
          <w:sz w:val="24"/>
          <w:szCs w:val="24"/>
          <w:lang w:val="el-GR"/>
        </w:rPr>
        <w:t>5.2.2.7</w:t>
      </w:r>
      <w:r>
        <w:rPr>
          <w:rFonts w:cs="Arial"/>
          <w:sz w:val="24"/>
          <w:szCs w:val="24"/>
          <w:lang w:val="el-GR"/>
        </w:rPr>
        <w:t xml:space="preserve"> Αύξων αριθμός συσκευασίας.</w:t>
      </w:r>
    </w:p>
    <w:p>
      <w:pPr>
        <w:pStyle w:val="Normal"/>
        <w:rPr>
          <w:rFonts w:cs="Arial"/>
          <w:b/>
          <w:sz w:val="24"/>
          <w:szCs w:val="24"/>
          <w:lang w:val="el-GR"/>
        </w:rPr>
      </w:pPr>
      <w:r>
        <w:rPr>
          <w:rFonts w:cs="Arial"/>
          <w:b/>
          <w:sz w:val="24"/>
          <w:szCs w:val="24"/>
          <w:lang w:val="el-GR"/>
        </w:rPr>
        <w:t xml:space="preserve">5.2.2.8 </w:t>
      </w:r>
      <w:r>
        <w:rPr>
          <w:rFonts w:cs="Arial"/>
          <w:sz w:val="24"/>
          <w:szCs w:val="24"/>
          <w:lang w:val="el-GR"/>
        </w:rPr>
        <w:t>Βάρος συσκευασμένου υλικού.</w:t>
      </w:r>
    </w:p>
    <w:p>
      <w:pPr>
        <w:pStyle w:val="Normal"/>
        <w:rPr>
          <w:rFonts w:cs="Arial"/>
          <w:sz w:val="24"/>
          <w:szCs w:val="24"/>
          <w:lang w:val="el-GR"/>
        </w:rPr>
      </w:pPr>
      <w:r>
        <w:rPr>
          <w:rFonts w:cs="Arial"/>
          <w:b/>
          <w:sz w:val="24"/>
          <w:szCs w:val="24"/>
          <w:lang w:val="el-GR"/>
        </w:rPr>
        <w:t xml:space="preserve">5.2.2.9 </w:t>
      </w:r>
      <w:r>
        <w:rPr>
          <w:rFonts w:cs="Arial"/>
          <w:sz w:val="24"/>
          <w:szCs w:val="24"/>
          <w:lang w:val="el-GR"/>
        </w:rPr>
        <w:t>Μήνας και έτος κατασκευής.</w:t>
      </w:r>
    </w:p>
    <w:p>
      <w:pPr>
        <w:pStyle w:val="Normal"/>
        <w:rPr>
          <w:rFonts w:cs="Arial"/>
          <w:sz w:val="24"/>
          <w:szCs w:val="24"/>
          <w:lang w:val="el-GR"/>
        </w:rPr>
      </w:pPr>
      <w:r>
        <w:rPr>
          <w:rFonts w:cs="Arial"/>
          <w:sz w:val="24"/>
          <w:szCs w:val="24"/>
          <w:lang w:val="el-GR"/>
        </w:rPr>
      </w:r>
    </w:p>
    <w:p>
      <w:pPr>
        <w:pStyle w:val="Normal"/>
        <w:rPr>
          <w:rFonts w:cs="Arial"/>
          <w:b/>
          <w:sz w:val="24"/>
          <w:szCs w:val="24"/>
          <w:lang w:val="el-GR"/>
        </w:rPr>
      </w:pPr>
      <w:r>
        <w:rPr>
          <w:rFonts w:cs="Arial"/>
          <w:b/>
          <w:sz w:val="24"/>
          <w:szCs w:val="24"/>
          <w:lang w:val="el-GR"/>
        </w:rPr>
        <w:t xml:space="preserve">5.3 </w:t>
      </w:r>
      <w:r>
        <w:rPr>
          <w:rFonts w:cs="Arial"/>
          <w:sz w:val="24"/>
          <w:szCs w:val="24"/>
          <w:lang w:val="el-GR"/>
        </w:rPr>
        <w:t xml:space="preserve">Την ευθύνη για την ύπαρξη των επισημάνσεων των </w:t>
      </w:r>
      <w:r>
        <w:rPr>
          <w:rFonts w:cs="Arial"/>
          <w:color w:val="000000"/>
          <w:sz w:val="24"/>
          <w:szCs w:val="24"/>
          <w:lang w:val="el-GR"/>
        </w:rPr>
        <w:t>§§</w:t>
      </w:r>
      <w:r>
        <w:rPr>
          <w:rFonts w:cs="Arial"/>
          <w:sz w:val="24"/>
          <w:szCs w:val="24"/>
          <w:lang w:val="el-GR"/>
        </w:rPr>
        <w:t xml:space="preserve"> 5.2.1 και 5.5.2 σε κάθε πρωτογενή συσκευασία και χαρτοκιβώτιο δευτερογενούς συσκευασίας, έχει ο προμηθευτής, που διαθέτει τα προϊόντα αυτά στο ΠΝ.</w:t>
      </w:r>
    </w:p>
    <w:p>
      <w:pPr>
        <w:pStyle w:val="Normal"/>
        <w:rPr>
          <w:rFonts w:cs="Arial"/>
          <w:b/>
          <w:sz w:val="24"/>
          <w:szCs w:val="24"/>
          <w:lang w:val="el-GR"/>
        </w:rPr>
      </w:pPr>
      <w:r>
        <w:rPr>
          <w:rFonts w:cs="Arial"/>
          <w:b/>
          <w:sz w:val="24"/>
          <w:szCs w:val="24"/>
          <w:lang w:val="el-GR"/>
        </w:rPr>
      </w:r>
    </w:p>
    <w:p>
      <w:pPr>
        <w:pStyle w:val="Normal"/>
        <w:rPr>
          <w:b/>
          <w:sz w:val="24"/>
          <w:szCs w:val="24"/>
          <w:lang w:val="el-GR"/>
        </w:rPr>
      </w:pPr>
      <w:r>
        <w:rPr>
          <w:rFonts w:cs="Arial"/>
          <w:b/>
          <w:sz w:val="24"/>
          <w:szCs w:val="24"/>
          <w:lang w:val="el-GR"/>
        </w:rPr>
        <w:t>6 ΑΠΑΙΤΗΣΕΙΣ ΣΥΜΜΟΡΦΩΣΗΣ ΥΛΙΚΟΥ</w:t>
      </w:r>
    </w:p>
    <w:p>
      <w:pPr>
        <w:pStyle w:val="Style14"/>
        <w:numPr>
          <w:ilvl w:val="0"/>
          <w:numId w:val="0"/>
        </w:numPr>
        <w:ind w:hanging="0" w:start="0" w:end="0"/>
        <w:rPr>
          <w:rFonts w:cs="Arial"/>
          <w:sz w:val="24"/>
          <w:szCs w:val="24"/>
          <w:lang w:val="el-GR"/>
        </w:rPr>
      </w:pPr>
      <w:r>
        <w:rPr>
          <w:b/>
          <w:sz w:val="24"/>
          <w:szCs w:val="24"/>
          <w:lang w:val="el-GR"/>
        </w:rPr>
        <w:t>6.1 Συνοδευτικά έγγραφα / Πιστοποιητικά</w:t>
      </w:r>
    </w:p>
    <w:p>
      <w:pPr>
        <w:pStyle w:val="Style14"/>
        <w:numPr>
          <w:ilvl w:val="0"/>
          <w:numId w:val="0"/>
        </w:numPr>
        <w:tabs>
          <w:tab w:val="left" w:pos="720" w:leader="none"/>
        </w:tabs>
        <w:ind w:hanging="0" w:start="0" w:end="0"/>
        <w:jc w:val="both"/>
        <w:rPr>
          <w:b/>
          <w:sz w:val="24"/>
          <w:szCs w:val="24"/>
          <w:lang w:val="el-GR"/>
        </w:rPr>
      </w:pPr>
      <w:r>
        <w:rPr>
          <w:rFonts w:cs="Arial"/>
          <w:sz w:val="24"/>
          <w:szCs w:val="24"/>
          <w:lang w:val="el-GR"/>
        </w:rPr>
        <w:t>Για τα υλικά § 1, ο προμηθευτής στο στάδιο παράδοσης-παραλαβής υλικών, θα υποβάλει τα έγγραφα §§ 9.1.2 έως 9.1.4 καθώς και την εγγύηση § 7.1.</w:t>
      </w:r>
    </w:p>
    <w:p>
      <w:pPr>
        <w:pStyle w:val="Normal"/>
        <w:rPr>
          <w:sz w:val="24"/>
          <w:szCs w:val="24"/>
          <w:lang w:val="el-GR"/>
        </w:rPr>
      </w:pPr>
      <w:r>
        <w:rPr>
          <w:sz w:val="24"/>
          <w:szCs w:val="24"/>
          <w:lang w:val="el-GR"/>
        </w:rPr>
      </w:r>
    </w:p>
    <w:p>
      <w:pPr>
        <w:pStyle w:val="Normal"/>
        <w:rPr>
          <w:sz w:val="24"/>
          <w:szCs w:val="24"/>
          <w:lang w:val="el-GR"/>
        </w:rPr>
      </w:pPr>
      <w:r>
        <w:rPr>
          <w:b/>
          <w:sz w:val="24"/>
          <w:szCs w:val="24"/>
          <w:lang w:val="el-GR"/>
        </w:rPr>
        <w:t xml:space="preserve">6.2 </w:t>
      </w:r>
      <w:r>
        <w:rPr>
          <w:b/>
          <w:bCs/>
          <w:sz w:val="24"/>
          <w:szCs w:val="24"/>
          <w:lang w:val="el-GR"/>
        </w:rPr>
        <w:t xml:space="preserve">Μακροσκοπικός έλεγχος - Έλεγχος διαστάσεων </w:t>
      </w:r>
    </w:p>
    <w:p>
      <w:pPr>
        <w:pStyle w:val="Normal"/>
        <w:rPr>
          <w:b/>
          <w:sz w:val="24"/>
          <w:szCs w:val="24"/>
          <w:lang w:val="el-GR"/>
        </w:rPr>
      </w:pPr>
      <w:r>
        <w:rPr>
          <w:sz w:val="24"/>
          <w:szCs w:val="24"/>
          <w:lang w:val="el-GR"/>
        </w:rPr>
        <w:t>Η Επιτροπή Παραλαβής (ΕΠ) εξετάζει δειγματοληπτικά δευτερογενή συσκευασία καθώς και το είδος με και χωρίς πρωτογενή συσκευασία, με την χρήση του ακόλουθου πίνακα, που συντάχθηκε σύμφωνα με το ISO 2859-1:</w:t>
      </w:r>
    </w:p>
    <w:p>
      <w:pPr>
        <w:pStyle w:val="Normal"/>
        <w:rPr>
          <w:b/>
          <w:sz w:val="24"/>
          <w:szCs w:val="24"/>
          <w:lang w:val="el-GR"/>
        </w:rPr>
      </w:pPr>
      <w:r>
        <w:rPr>
          <w:b/>
          <w:sz w:val="24"/>
          <w:szCs w:val="24"/>
          <w:lang w:val="el-GR"/>
        </w:rPr>
      </w:r>
    </w:p>
    <w:tbl>
      <w:tblPr>
        <w:tblW w:w="8168" w:type="dxa"/>
        <w:jc w:val="center"/>
        <w:tblInd w:w="0" w:type="dxa"/>
        <w:tblLayout w:type="fixed"/>
        <w:tblCellMar>
          <w:top w:w="0" w:type="dxa"/>
          <w:start w:w="108" w:type="dxa"/>
          <w:bottom w:w="0" w:type="dxa"/>
          <w:end w:w="108" w:type="dxa"/>
        </w:tblCellMar>
      </w:tblPr>
      <w:tblGrid>
        <w:gridCol w:w="2259"/>
        <w:gridCol w:w="2853"/>
        <w:gridCol w:w="3056"/>
      </w:tblGrid>
      <w:tr>
        <w:trPr>
          <w:cantSplit w:val="true"/>
        </w:trPr>
        <w:tc>
          <w:tcPr>
            <w:tcW w:w="8168" w:type="dxa"/>
            <w:gridSpan w:val="3"/>
            <w:tcBorders>
              <w:top w:val="single" w:sz="6" w:space="0" w:color="000000"/>
              <w:start w:val="single" w:sz="6" w:space="0" w:color="000000"/>
              <w:bottom w:val="single" w:sz="6" w:space="0" w:color="000000"/>
              <w:end w:val="single" w:sz="6" w:space="0" w:color="000000"/>
            </w:tcBorders>
          </w:tcPr>
          <w:p>
            <w:pPr>
              <w:pStyle w:val="Normal"/>
              <w:jc w:val="center"/>
              <w:rPr>
                <w:b/>
                <w:sz w:val="24"/>
                <w:szCs w:val="24"/>
                <w:lang w:val="el-GR"/>
              </w:rPr>
            </w:pPr>
            <w:r>
              <w:rPr>
                <w:b/>
                <w:sz w:val="24"/>
                <w:szCs w:val="24"/>
                <w:lang w:val="el-GR"/>
              </w:rPr>
              <w:t>ΠΙΝΑΚΑΣ ΑΠΛΗΣ ΔΕΙΓΜΑΤΟΛΗΨΙΑΣ MAKROSKOPIKOY ΕΛΕΓΧΟΥ</w:t>
            </w:r>
          </w:p>
          <w:p>
            <w:pPr>
              <w:pStyle w:val="Normal"/>
              <w:jc w:val="center"/>
              <w:rPr>
                <w:b/>
                <w:sz w:val="24"/>
                <w:szCs w:val="24"/>
                <w:lang w:val="el-GR"/>
              </w:rPr>
            </w:pPr>
            <w:r>
              <w:rPr>
                <w:b/>
                <w:sz w:val="24"/>
                <w:szCs w:val="24"/>
                <w:lang w:val="el-GR"/>
              </w:rPr>
              <w:t>(AQL 4,0%, Normal, Level I)</w:t>
            </w:r>
          </w:p>
        </w:tc>
      </w:tr>
      <w:tr>
        <w:trPr>
          <w:trHeight w:val="518" w:hRule="atLeast"/>
          <w:cantSplit w:val="true"/>
        </w:trPr>
        <w:tc>
          <w:tcPr>
            <w:tcW w:w="2259" w:type="dxa"/>
            <w:tcBorders>
              <w:top w:val="single" w:sz="6" w:space="0" w:color="000000"/>
              <w:start w:val="single" w:sz="6" w:space="0" w:color="000000"/>
              <w:bottom w:val="single" w:sz="6" w:space="0" w:color="000000"/>
            </w:tcBorders>
          </w:tcPr>
          <w:p>
            <w:pPr>
              <w:pStyle w:val="Normal"/>
              <w:jc w:val="center"/>
              <w:rPr>
                <w:b/>
                <w:sz w:val="24"/>
                <w:szCs w:val="24"/>
                <w:lang w:val="el-GR"/>
              </w:rPr>
            </w:pPr>
            <w:r>
              <w:rPr>
                <w:b/>
                <w:sz w:val="24"/>
                <w:szCs w:val="24"/>
                <w:lang w:val="el-GR"/>
              </w:rPr>
              <w:t>Μέγεθος παρτίδας</w:t>
            </w:r>
          </w:p>
          <w:p>
            <w:pPr>
              <w:pStyle w:val="Normal"/>
              <w:jc w:val="center"/>
              <w:rPr>
                <w:b/>
                <w:sz w:val="24"/>
                <w:szCs w:val="24"/>
                <w:lang w:val="el-GR"/>
              </w:rPr>
            </w:pPr>
            <w:r>
              <w:rPr>
                <w:b/>
                <w:sz w:val="24"/>
                <w:szCs w:val="24"/>
                <w:lang w:val="el-GR"/>
              </w:rPr>
              <w:t>(Τεμάχια)</w:t>
            </w:r>
          </w:p>
        </w:tc>
        <w:tc>
          <w:tcPr>
            <w:tcW w:w="2853" w:type="dxa"/>
            <w:tcBorders>
              <w:top w:val="single" w:sz="6" w:space="0" w:color="000000"/>
              <w:start w:val="single" w:sz="6" w:space="0" w:color="000000"/>
              <w:bottom w:val="single" w:sz="6" w:space="0" w:color="000000"/>
            </w:tcBorders>
          </w:tcPr>
          <w:p>
            <w:pPr>
              <w:pStyle w:val="Normal"/>
              <w:jc w:val="center"/>
              <w:rPr>
                <w:b/>
                <w:sz w:val="24"/>
                <w:szCs w:val="24"/>
                <w:lang w:val="el-GR"/>
              </w:rPr>
            </w:pPr>
            <w:r>
              <w:rPr>
                <w:b/>
                <w:sz w:val="24"/>
                <w:szCs w:val="24"/>
                <w:lang w:val="el-GR"/>
              </w:rPr>
              <w:t>Μέγεθος δείγματος</w:t>
            </w:r>
          </w:p>
          <w:p>
            <w:pPr>
              <w:pStyle w:val="Normal"/>
              <w:jc w:val="center"/>
              <w:rPr>
                <w:b/>
                <w:sz w:val="24"/>
                <w:szCs w:val="24"/>
                <w:lang w:val="el-GR"/>
              </w:rPr>
            </w:pPr>
            <w:r>
              <w:rPr>
                <w:b/>
                <w:sz w:val="24"/>
                <w:szCs w:val="24"/>
                <w:lang w:val="el-GR"/>
              </w:rPr>
              <w:t>(Τεμάχια)</w:t>
            </w:r>
          </w:p>
        </w:tc>
        <w:tc>
          <w:tcPr>
            <w:tcW w:w="3056" w:type="dxa"/>
            <w:tcBorders>
              <w:top w:val="single" w:sz="6" w:space="0" w:color="000000"/>
              <w:start w:val="single" w:sz="6" w:space="0" w:color="000000"/>
              <w:bottom w:val="single" w:sz="6" w:space="0" w:color="000000"/>
              <w:end w:val="single" w:sz="6" w:space="0" w:color="000000"/>
            </w:tcBorders>
          </w:tcPr>
          <w:p>
            <w:pPr>
              <w:pStyle w:val="Normal"/>
              <w:jc w:val="center"/>
              <w:rPr>
                <w:b/>
                <w:sz w:val="24"/>
                <w:szCs w:val="24"/>
                <w:lang w:val="el-GR"/>
              </w:rPr>
            </w:pPr>
            <w:r>
              <w:rPr>
                <w:b/>
                <w:sz w:val="24"/>
                <w:szCs w:val="24"/>
                <w:lang w:val="el-GR"/>
              </w:rPr>
              <w:t>Αποδεκτός αριθμός</w:t>
            </w:r>
          </w:p>
          <w:p>
            <w:pPr>
              <w:pStyle w:val="Normal"/>
              <w:jc w:val="center"/>
              <w:rPr>
                <w:b/>
                <w:sz w:val="24"/>
                <w:szCs w:val="24"/>
                <w:lang w:val="el-GR"/>
              </w:rPr>
            </w:pPr>
            <w:r>
              <w:rPr>
                <w:b/>
                <w:sz w:val="24"/>
                <w:szCs w:val="24"/>
                <w:lang w:val="el-GR"/>
              </w:rPr>
              <w:t>ελαττωματικών τεμαχίων</w:t>
            </w:r>
          </w:p>
        </w:tc>
      </w:tr>
      <w:tr>
        <w:trPr/>
        <w:tc>
          <w:tcPr>
            <w:tcW w:w="2259" w:type="dxa"/>
            <w:tcBorders>
              <w:top w:val="single" w:sz="6" w:space="0" w:color="000000"/>
              <w:start w:val="single" w:sz="6" w:space="0" w:color="000000"/>
              <w:bottom w:val="single" w:sz="6" w:space="0" w:color="000000"/>
            </w:tcBorders>
          </w:tcPr>
          <w:p>
            <w:pPr>
              <w:pStyle w:val="Normal"/>
              <w:jc w:val="center"/>
              <w:rPr>
                <w:sz w:val="24"/>
                <w:szCs w:val="24"/>
                <w:lang w:val="el-GR"/>
              </w:rPr>
            </w:pPr>
            <w:r>
              <w:rPr>
                <w:sz w:val="24"/>
                <w:szCs w:val="24"/>
                <w:lang w:val="el-GR"/>
              </w:rPr>
              <w:t>2 - 8</w:t>
            </w:r>
          </w:p>
        </w:tc>
        <w:tc>
          <w:tcPr>
            <w:tcW w:w="2853" w:type="dxa"/>
            <w:tcBorders>
              <w:top w:val="single" w:sz="6" w:space="0" w:color="000000"/>
              <w:start w:val="single" w:sz="6" w:space="0" w:color="000000"/>
              <w:bottom w:val="single" w:sz="6" w:space="0" w:color="000000"/>
            </w:tcBorders>
          </w:tcPr>
          <w:p>
            <w:pPr>
              <w:pStyle w:val="Normal"/>
              <w:jc w:val="center"/>
              <w:rPr>
                <w:sz w:val="24"/>
                <w:szCs w:val="24"/>
                <w:lang w:val="el-GR"/>
              </w:rPr>
            </w:pPr>
            <w:r>
              <w:rPr>
                <w:sz w:val="24"/>
                <w:szCs w:val="24"/>
                <w:lang w:val="el-GR"/>
              </w:rPr>
              <w:t>2</w:t>
            </w:r>
          </w:p>
        </w:tc>
        <w:tc>
          <w:tcPr>
            <w:tcW w:w="3056" w:type="dxa"/>
            <w:tcBorders>
              <w:top w:val="single" w:sz="6" w:space="0" w:color="000000"/>
              <w:start w:val="single" w:sz="6" w:space="0" w:color="000000"/>
              <w:bottom w:val="single" w:sz="6" w:space="0" w:color="000000"/>
              <w:end w:val="single" w:sz="6" w:space="0" w:color="000000"/>
            </w:tcBorders>
          </w:tcPr>
          <w:p>
            <w:pPr>
              <w:pStyle w:val="Normal"/>
              <w:jc w:val="center"/>
              <w:rPr>
                <w:sz w:val="24"/>
                <w:szCs w:val="24"/>
                <w:lang w:val="el-GR"/>
              </w:rPr>
            </w:pPr>
            <w:r>
              <w:rPr>
                <w:sz w:val="24"/>
                <w:szCs w:val="24"/>
                <w:lang w:val="el-GR"/>
              </w:rPr>
              <w:t>0</w:t>
            </w:r>
          </w:p>
        </w:tc>
      </w:tr>
      <w:tr>
        <w:trPr/>
        <w:tc>
          <w:tcPr>
            <w:tcW w:w="2259" w:type="dxa"/>
            <w:tcBorders>
              <w:top w:val="single" w:sz="6" w:space="0" w:color="000000"/>
              <w:start w:val="single" w:sz="6" w:space="0" w:color="000000"/>
              <w:bottom w:val="single" w:sz="6" w:space="0" w:color="000000"/>
            </w:tcBorders>
          </w:tcPr>
          <w:p>
            <w:pPr>
              <w:pStyle w:val="Normal"/>
              <w:jc w:val="center"/>
              <w:rPr>
                <w:sz w:val="24"/>
                <w:szCs w:val="24"/>
                <w:lang w:val="el-GR"/>
              </w:rPr>
            </w:pPr>
            <w:r>
              <w:rPr>
                <w:sz w:val="24"/>
                <w:szCs w:val="24"/>
                <w:lang w:val="el-GR"/>
              </w:rPr>
              <w:t>9 - 15</w:t>
            </w:r>
          </w:p>
        </w:tc>
        <w:tc>
          <w:tcPr>
            <w:tcW w:w="2853" w:type="dxa"/>
            <w:tcBorders>
              <w:top w:val="single" w:sz="6" w:space="0" w:color="000000"/>
              <w:start w:val="single" w:sz="6" w:space="0" w:color="000000"/>
              <w:bottom w:val="single" w:sz="6" w:space="0" w:color="000000"/>
            </w:tcBorders>
          </w:tcPr>
          <w:p>
            <w:pPr>
              <w:pStyle w:val="Normal"/>
              <w:jc w:val="center"/>
              <w:rPr>
                <w:sz w:val="24"/>
                <w:szCs w:val="24"/>
                <w:lang w:val="el-GR"/>
              </w:rPr>
            </w:pPr>
            <w:r>
              <w:rPr>
                <w:sz w:val="24"/>
                <w:szCs w:val="24"/>
                <w:lang w:val="el-GR"/>
              </w:rPr>
              <w:t>2</w:t>
            </w:r>
          </w:p>
        </w:tc>
        <w:tc>
          <w:tcPr>
            <w:tcW w:w="3056" w:type="dxa"/>
            <w:tcBorders>
              <w:top w:val="single" w:sz="6" w:space="0" w:color="000000"/>
              <w:start w:val="single" w:sz="6" w:space="0" w:color="000000"/>
              <w:bottom w:val="single" w:sz="6" w:space="0" w:color="000000"/>
              <w:end w:val="single" w:sz="6" w:space="0" w:color="000000"/>
            </w:tcBorders>
          </w:tcPr>
          <w:p>
            <w:pPr>
              <w:pStyle w:val="Normal"/>
              <w:jc w:val="center"/>
              <w:rPr>
                <w:sz w:val="24"/>
                <w:szCs w:val="24"/>
                <w:lang w:val="el-GR"/>
              </w:rPr>
            </w:pPr>
            <w:r>
              <w:rPr>
                <w:sz w:val="24"/>
                <w:szCs w:val="24"/>
                <w:lang w:val="el-GR"/>
              </w:rPr>
              <w:t>0</w:t>
            </w:r>
          </w:p>
        </w:tc>
      </w:tr>
      <w:tr>
        <w:trPr/>
        <w:tc>
          <w:tcPr>
            <w:tcW w:w="2259" w:type="dxa"/>
            <w:tcBorders>
              <w:top w:val="single" w:sz="6" w:space="0" w:color="000000"/>
              <w:start w:val="single" w:sz="6" w:space="0" w:color="000000"/>
              <w:bottom w:val="single" w:sz="6" w:space="0" w:color="000000"/>
            </w:tcBorders>
          </w:tcPr>
          <w:p>
            <w:pPr>
              <w:pStyle w:val="Normal"/>
              <w:jc w:val="center"/>
              <w:rPr>
                <w:sz w:val="24"/>
                <w:szCs w:val="24"/>
                <w:lang w:val="el-GR"/>
              </w:rPr>
            </w:pPr>
            <w:r>
              <w:rPr>
                <w:sz w:val="24"/>
                <w:szCs w:val="24"/>
                <w:lang w:val="el-GR"/>
              </w:rPr>
              <w:t>16 - 25</w:t>
            </w:r>
          </w:p>
        </w:tc>
        <w:tc>
          <w:tcPr>
            <w:tcW w:w="2853" w:type="dxa"/>
            <w:tcBorders>
              <w:top w:val="single" w:sz="6" w:space="0" w:color="000000"/>
              <w:start w:val="single" w:sz="6" w:space="0" w:color="000000"/>
              <w:bottom w:val="single" w:sz="6" w:space="0" w:color="000000"/>
            </w:tcBorders>
          </w:tcPr>
          <w:p>
            <w:pPr>
              <w:pStyle w:val="Normal"/>
              <w:jc w:val="center"/>
              <w:rPr>
                <w:sz w:val="24"/>
                <w:szCs w:val="24"/>
                <w:lang w:val="el-GR"/>
              </w:rPr>
            </w:pPr>
            <w:r>
              <w:rPr>
                <w:sz w:val="24"/>
                <w:szCs w:val="24"/>
                <w:lang w:val="el-GR"/>
              </w:rPr>
              <w:t>3</w:t>
            </w:r>
          </w:p>
        </w:tc>
        <w:tc>
          <w:tcPr>
            <w:tcW w:w="3056" w:type="dxa"/>
            <w:tcBorders>
              <w:top w:val="single" w:sz="6" w:space="0" w:color="000000"/>
              <w:start w:val="single" w:sz="6" w:space="0" w:color="000000"/>
              <w:bottom w:val="single" w:sz="6" w:space="0" w:color="000000"/>
              <w:end w:val="single" w:sz="6" w:space="0" w:color="000000"/>
            </w:tcBorders>
          </w:tcPr>
          <w:p>
            <w:pPr>
              <w:pStyle w:val="Normal"/>
              <w:jc w:val="center"/>
              <w:rPr>
                <w:sz w:val="24"/>
                <w:szCs w:val="24"/>
                <w:lang w:val="el-GR"/>
              </w:rPr>
            </w:pPr>
            <w:r>
              <w:rPr>
                <w:sz w:val="24"/>
                <w:szCs w:val="24"/>
                <w:lang w:val="el-GR"/>
              </w:rPr>
              <w:t>0</w:t>
            </w:r>
          </w:p>
        </w:tc>
      </w:tr>
      <w:tr>
        <w:trPr/>
        <w:tc>
          <w:tcPr>
            <w:tcW w:w="2259" w:type="dxa"/>
            <w:tcBorders>
              <w:top w:val="single" w:sz="6" w:space="0" w:color="000000"/>
              <w:start w:val="single" w:sz="6" w:space="0" w:color="000000"/>
              <w:bottom w:val="single" w:sz="6" w:space="0" w:color="000000"/>
            </w:tcBorders>
          </w:tcPr>
          <w:p>
            <w:pPr>
              <w:pStyle w:val="Normal"/>
              <w:jc w:val="center"/>
              <w:rPr>
                <w:sz w:val="24"/>
                <w:szCs w:val="24"/>
                <w:lang w:val="el-GR"/>
              </w:rPr>
            </w:pPr>
            <w:r>
              <w:rPr>
                <w:sz w:val="24"/>
                <w:szCs w:val="24"/>
                <w:lang w:val="el-GR"/>
              </w:rPr>
              <w:t>26 - 50</w:t>
            </w:r>
          </w:p>
        </w:tc>
        <w:tc>
          <w:tcPr>
            <w:tcW w:w="2853" w:type="dxa"/>
            <w:tcBorders>
              <w:top w:val="single" w:sz="6" w:space="0" w:color="000000"/>
              <w:start w:val="single" w:sz="6" w:space="0" w:color="000000"/>
              <w:bottom w:val="single" w:sz="6" w:space="0" w:color="000000"/>
            </w:tcBorders>
          </w:tcPr>
          <w:p>
            <w:pPr>
              <w:pStyle w:val="Normal"/>
              <w:jc w:val="center"/>
              <w:rPr>
                <w:sz w:val="24"/>
                <w:szCs w:val="24"/>
                <w:lang w:val="el-GR"/>
              </w:rPr>
            </w:pPr>
            <w:r>
              <w:rPr>
                <w:sz w:val="24"/>
                <w:szCs w:val="24"/>
                <w:lang w:val="el-GR"/>
              </w:rPr>
              <w:t>5</w:t>
            </w:r>
          </w:p>
        </w:tc>
        <w:tc>
          <w:tcPr>
            <w:tcW w:w="3056" w:type="dxa"/>
            <w:tcBorders>
              <w:top w:val="single" w:sz="6" w:space="0" w:color="000000"/>
              <w:start w:val="single" w:sz="6" w:space="0" w:color="000000"/>
              <w:bottom w:val="single" w:sz="6" w:space="0" w:color="000000"/>
              <w:end w:val="single" w:sz="6" w:space="0" w:color="000000"/>
            </w:tcBorders>
          </w:tcPr>
          <w:p>
            <w:pPr>
              <w:pStyle w:val="Normal"/>
              <w:jc w:val="center"/>
              <w:rPr>
                <w:sz w:val="24"/>
                <w:szCs w:val="24"/>
                <w:lang w:val="el-GR"/>
              </w:rPr>
            </w:pPr>
            <w:r>
              <w:rPr>
                <w:sz w:val="24"/>
                <w:szCs w:val="24"/>
                <w:lang w:val="el-GR"/>
              </w:rPr>
              <w:t>0</w:t>
            </w:r>
          </w:p>
        </w:tc>
      </w:tr>
      <w:tr>
        <w:trPr/>
        <w:tc>
          <w:tcPr>
            <w:tcW w:w="2259" w:type="dxa"/>
            <w:tcBorders>
              <w:top w:val="single" w:sz="6" w:space="0" w:color="000000"/>
              <w:start w:val="single" w:sz="6" w:space="0" w:color="000000"/>
              <w:bottom w:val="single" w:sz="6" w:space="0" w:color="000000"/>
            </w:tcBorders>
          </w:tcPr>
          <w:p>
            <w:pPr>
              <w:pStyle w:val="Normal"/>
              <w:jc w:val="center"/>
              <w:rPr>
                <w:sz w:val="24"/>
                <w:szCs w:val="24"/>
                <w:lang w:val="el-GR"/>
              </w:rPr>
            </w:pPr>
            <w:r>
              <w:rPr>
                <w:sz w:val="24"/>
                <w:szCs w:val="24"/>
                <w:lang w:val="el-GR"/>
              </w:rPr>
              <w:t>51 - 90</w:t>
            </w:r>
          </w:p>
        </w:tc>
        <w:tc>
          <w:tcPr>
            <w:tcW w:w="2853" w:type="dxa"/>
            <w:tcBorders>
              <w:top w:val="single" w:sz="6" w:space="0" w:color="000000"/>
              <w:start w:val="single" w:sz="6" w:space="0" w:color="000000"/>
              <w:bottom w:val="single" w:sz="6" w:space="0" w:color="000000"/>
            </w:tcBorders>
          </w:tcPr>
          <w:p>
            <w:pPr>
              <w:pStyle w:val="Normal"/>
              <w:jc w:val="center"/>
              <w:rPr>
                <w:sz w:val="24"/>
                <w:szCs w:val="24"/>
                <w:lang w:val="el-GR"/>
              </w:rPr>
            </w:pPr>
            <w:r>
              <w:rPr>
                <w:sz w:val="24"/>
                <w:szCs w:val="24"/>
                <w:lang w:val="el-GR"/>
              </w:rPr>
              <w:t>5</w:t>
            </w:r>
          </w:p>
        </w:tc>
        <w:tc>
          <w:tcPr>
            <w:tcW w:w="3056" w:type="dxa"/>
            <w:tcBorders>
              <w:top w:val="single" w:sz="6" w:space="0" w:color="000000"/>
              <w:start w:val="single" w:sz="6" w:space="0" w:color="000000"/>
              <w:bottom w:val="single" w:sz="6" w:space="0" w:color="000000"/>
              <w:end w:val="single" w:sz="6" w:space="0" w:color="000000"/>
            </w:tcBorders>
          </w:tcPr>
          <w:p>
            <w:pPr>
              <w:pStyle w:val="Normal"/>
              <w:jc w:val="center"/>
              <w:rPr>
                <w:sz w:val="24"/>
                <w:szCs w:val="24"/>
                <w:lang w:val="el-GR"/>
              </w:rPr>
            </w:pPr>
            <w:r>
              <w:rPr>
                <w:sz w:val="24"/>
                <w:szCs w:val="24"/>
                <w:lang w:val="el-GR"/>
              </w:rPr>
              <w:t>0</w:t>
            </w:r>
          </w:p>
        </w:tc>
      </w:tr>
      <w:tr>
        <w:trPr/>
        <w:tc>
          <w:tcPr>
            <w:tcW w:w="2259" w:type="dxa"/>
            <w:tcBorders>
              <w:top w:val="single" w:sz="6" w:space="0" w:color="000000"/>
              <w:start w:val="single" w:sz="6" w:space="0" w:color="000000"/>
              <w:bottom w:val="single" w:sz="6" w:space="0" w:color="000000"/>
            </w:tcBorders>
          </w:tcPr>
          <w:p>
            <w:pPr>
              <w:pStyle w:val="Normal"/>
              <w:jc w:val="center"/>
              <w:rPr>
                <w:sz w:val="24"/>
                <w:szCs w:val="24"/>
                <w:lang w:val="el-GR"/>
              </w:rPr>
            </w:pPr>
            <w:r>
              <w:rPr>
                <w:sz w:val="24"/>
                <w:szCs w:val="24"/>
                <w:lang w:val="el-GR"/>
              </w:rPr>
              <w:t>91 - 150</w:t>
            </w:r>
          </w:p>
        </w:tc>
        <w:tc>
          <w:tcPr>
            <w:tcW w:w="2853" w:type="dxa"/>
            <w:tcBorders>
              <w:top w:val="single" w:sz="6" w:space="0" w:color="000000"/>
              <w:start w:val="single" w:sz="6" w:space="0" w:color="000000"/>
              <w:bottom w:val="single" w:sz="6" w:space="0" w:color="000000"/>
            </w:tcBorders>
          </w:tcPr>
          <w:p>
            <w:pPr>
              <w:pStyle w:val="Normal"/>
              <w:jc w:val="center"/>
              <w:rPr>
                <w:sz w:val="24"/>
                <w:szCs w:val="24"/>
                <w:lang w:val="el-GR"/>
              </w:rPr>
            </w:pPr>
            <w:r>
              <w:rPr>
                <w:sz w:val="24"/>
                <w:szCs w:val="24"/>
                <w:lang w:val="el-GR"/>
              </w:rPr>
              <w:t>8</w:t>
            </w:r>
          </w:p>
        </w:tc>
        <w:tc>
          <w:tcPr>
            <w:tcW w:w="3056" w:type="dxa"/>
            <w:tcBorders>
              <w:top w:val="single" w:sz="6" w:space="0" w:color="000000"/>
              <w:start w:val="single" w:sz="6" w:space="0" w:color="000000"/>
              <w:bottom w:val="single" w:sz="6" w:space="0" w:color="000000"/>
              <w:end w:val="single" w:sz="6" w:space="0" w:color="000000"/>
            </w:tcBorders>
          </w:tcPr>
          <w:p>
            <w:pPr>
              <w:pStyle w:val="Normal"/>
              <w:jc w:val="center"/>
              <w:rPr>
                <w:sz w:val="24"/>
                <w:szCs w:val="24"/>
                <w:lang w:val="el-GR"/>
              </w:rPr>
            </w:pPr>
            <w:r>
              <w:rPr>
                <w:sz w:val="24"/>
                <w:szCs w:val="24"/>
                <w:lang w:val="el-GR"/>
              </w:rPr>
              <w:t>1</w:t>
            </w:r>
          </w:p>
        </w:tc>
      </w:tr>
      <w:tr>
        <w:trPr/>
        <w:tc>
          <w:tcPr>
            <w:tcW w:w="2259" w:type="dxa"/>
            <w:tcBorders>
              <w:top w:val="single" w:sz="6" w:space="0" w:color="000000"/>
              <w:start w:val="single" w:sz="6" w:space="0" w:color="000000"/>
              <w:bottom w:val="single" w:sz="6" w:space="0" w:color="000000"/>
            </w:tcBorders>
          </w:tcPr>
          <w:p>
            <w:pPr>
              <w:pStyle w:val="Normal"/>
              <w:jc w:val="center"/>
              <w:rPr>
                <w:sz w:val="24"/>
                <w:szCs w:val="24"/>
                <w:lang w:val="el-GR"/>
              </w:rPr>
            </w:pPr>
            <w:r>
              <w:rPr>
                <w:sz w:val="24"/>
                <w:szCs w:val="24"/>
                <w:lang w:val="el-GR"/>
              </w:rPr>
              <w:t>151 - 280</w:t>
            </w:r>
          </w:p>
        </w:tc>
        <w:tc>
          <w:tcPr>
            <w:tcW w:w="2853" w:type="dxa"/>
            <w:tcBorders>
              <w:top w:val="single" w:sz="6" w:space="0" w:color="000000"/>
              <w:start w:val="single" w:sz="6" w:space="0" w:color="000000"/>
              <w:bottom w:val="single" w:sz="6" w:space="0" w:color="000000"/>
            </w:tcBorders>
          </w:tcPr>
          <w:p>
            <w:pPr>
              <w:pStyle w:val="Normal"/>
              <w:jc w:val="center"/>
              <w:rPr>
                <w:sz w:val="24"/>
                <w:szCs w:val="24"/>
                <w:lang w:val="el-GR"/>
              </w:rPr>
            </w:pPr>
            <w:r>
              <w:rPr>
                <w:sz w:val="24"/>
                <w:szCs w:val="24"/>
                <w:lang w:val="el-GR"/>
              </w:rPr>
              <w:t>13</w:t>
            </w:r>
          </w:p>
        </w:tc>
        <w:tc>
          <w:tcPr>
            <w:tcW w:w="3056" w:type="dxa"/>
            <w:tcBorders>
              <w:top w:val="single" w:sz="6" w:space="0" w:color="000000"/>
              <w:start w:val="single" w:sz="6" w:space="0" w:color="000000"/>
              <w:bottom w:val="single" w:sz="6" w:space="0" w:color="000000"/>
              <w:end w:val="single" w:sz="6" w:space="0" w:color="000000"/>
            </w:tcBorders>
          </w:tcPr>
          <w:p>
            <w:pPr>
              <w:pStyle w:val="Normal"/>
              <w:jc w:val="center"/>
              <w:rPr>
                <w:sz w:val="24"/>
                <w:szCs w:val="24"/>
                <w:lang w:val="el-GR"/>
              </w:rPr>
            </w:pPr>
            <w:r>
              <w:rPr>
                <w:sz w:val="24"/>
                <w:szCs w:val="24"/>
                <w:lang w:val="el-GR"/>
              </w:rPr>
              <w:t>1</w:t>
            </w:r>
          </w:p>
        </w:tc>
      </w:tr>
      <w:tr>
        <w:trPr/>
        <w:tc>
          <w:tcPr>
            <w:tcW w:w="2259" w:type="dxa"/>
            <w:tcBorders>
              <w:start w:val="single" w:sz="6" w:space="0" w:color="000000"/>
              <w:bottom w:val="single" w:sz="6" w:space="0" w:color="000000"/>
            </w:tcBorders>
          </w:tcPr>
          <w:p>
            <w:pPr>
              <w:pStyle w:val="Normal"/>
              <w:jc w:val="center"/>
              <w:rPr>
                <w:sz w:val="24"/>
                <w:szCs w:val="24"/>
                <w:lang w:val="el-GR"/>
              </w:rPr>
            </w:pPr>
            <w:r>
              <w:rPr>
                <w:sz w:val="24"/>
                <w:szCs w:val="24"/>
                <w:lang w:val="el-GR"/>
              </w:rPr>
              <w:t>281 - 500</w:t>
            </w:r>
          </w:p>
        </w:tc>
        <w:tc>
          <w:tcPr>
            <w:tcW w:w="2853" w:type="dxa"/>
            <w:tcBorders>
              <w:start w:val="single" w:sz="6" w:space="0" w:color="000000"/>
              <w:bottom w:val="single" w:sz="6" w:space="0" w:color="000000"/>
            </w:tcBorders>
          </w:tcPr>
          <w:p>
            <w:pPr>
              <w:pStyle w:val="Normal"/>
              <w:jc w:val="center"/>
              <w:rPr>
                <w:sz w:val="24"/>
                <w:szCs w:val="24"/>
                <w:lang w:val="el-GR"/>
              </w:rPr>
            </w:pPr>
            <w:r>
              <w:rPr>
                <w:sz w:val="24"/>
                <w:szCs w:val="24"/>
                <w:lang w:val="el-GR"/>
              </w:rPr>
              <w:t>20</w:t>
            </w:r>
          </w:p>
        </w:tc>
        <w:tc>
          <w:tcPr>
            <w:tcW w:w="3056" w:type="dxa"/>
            <w:tcBorders>
              <w:start w:val="single" w:sz="6" w:space="0" w:color="000000"/>
              <w:bottom w:val="single" w:sz="6" w:space="0" w:color="000000"/>
              <w:end w:val="single" w:sz="6" w:space="0" w:color="000000"/>
            </w:tcBorders>
          </w:tcPr>
          <w:p>
            <w:pPr>
              <w:pStyle w:val="Normal"/>
              <w:jc w:val="center"/>
              <w:rPr>
                <w:sz w:val="24"/>
                <w:szCs w:val="24"/>
                <w:lang w:val="el-GR"/>
              </w:rPr>
            </w:pPr>
            <w:r>
              <w:rPr>
                <w:sz w:val="24"/>
                <w:szCs w:val="24"/>
                <w:lang w:val="el-GR"/>
              </w:rPr>
              <w:t>2</w:t>
            </w:r>
          </w:p>
        </w:tc>
      </w:tr>
      <w:tr>
        <w:trPr/>
        <w:tc>
          <w:tcPr>
            <w:tcW w:w="2259" w:type="dxa"/>
            <w:tcBorders>
              <w:start w:val="single" w:sz="6" w:space="0" w:color="000000"/>
              <w:bottom w:val="single" w:sz="6" w:space="0" w:color="000000"/>
            </w:tcBorders>
          </w:tcPr>
          <w:p>
            <w:pPr>
              <w:pStyle w:val="Normal"/>
              <w:jc w:val="center"/>
              <w:rPr>
                <w:sz w:val="24"/>
                <w:szCs w:val="24"/>
                <w:lang w:val="el-GR"/>
              </w:rPr>
            </w:pPr>
            <w:r>
              <w:rPr>
                <w:sz w:val="24"/>
                <w:szCs w:val="24"/>
                <w:lang w:val="el-GR"/>
              </w:rPr>
              <w:t>501 - 1200</w:t>
            </w:r>
          </w:p>
        </w:tc>
        <w:tc>
          <w:tcPr>
            <w:tcW w:w="2853" w:type="dxa"/>
            <w:tcBorders>
              <w:start w:val="single" w:sz="6" w:space="0" w:color="000000"/>
              <w:bottom w:val="single" w:sz="6" w:space="0" w:color="000000"/>
            </w:tcBorders>
          </w:tcPr>
          <w:p>
            <w:pPr>
              <w:pStyle w:val="Normal"/>
              <w:jc w:val="center"/>
              <w:rPr>
                <w:sz w:val="24"/>
                <w:szCs w:val="24"/>
                <w:lang w:val="el-GR"/>
              </w:rPr>
            </w:pPr>
            <w:r>
              <w:rPr>
                <w:sz w:val="24"/>
                <w:szCs w:val="24"/>
                <w:lang w:val="el-GR"/>
              </w:rPr>
              <w:t>32</w:t>
            </w:r>
          </w:p>
        </w:tc>
        <w:tc>
          <w:tcPr>
            <w:tcW w:w="3056" w:type="dxa"/>
            <w:tcBorders>
              <w:start w:val="single" w:sz="6" w:space="0" w:color="000000"/>
              <w:bottom w:val="single" w:sz="6" w:space="0" w:color="000000"/>
              <w:end w:val="single" w:sz="6" w:space="0" w:color="000000"/>
            </w:tcBorders>
          </w:tcPr>
          <w:p>
            <w:pPr>
              <w:pStyle w:val="Normal"/>
              <w:jc w:val="center"/>
              <w:rPr>
                <w:sz w:val="24"/>
                <w:szCs w:val="24"/>
                <w:lang w:val="el-GR"/>
              </w:rPr>
            </w:pPr>
            <w:r>
              <w:rPr>
                <w:sz w:val="24"/>
                <w:szCs w:val="24"/>
                <w:lang w:val="el-GR"/>
              </w:rPr>
              <w:t>3</w:t>
            </w:r>
          </w:p>
        </w:tc>
      </w:tr>
      <w:tr>
        <w:trPr/>
        <w:tc>
          <w:tcPr>
            <w:tcW w:w="2259" w:type="dxa"/>
            <w:tcBorders>
              <w:start w:val="single" w:sz="6" w:space="0" w:color="000000"/>
              <w:bottom w:val="single" w:sz="6" w:space="0" w:color="000000"/>
            </w:tcBorders>
          </w:tcPr>
          <w:p>
            <w:pPr>
              <w:pStyle w:val="Normal"/>
              <w:jc w:val="center"/>
              <w:rPr>
                <w:sz w:val="24"/>
                <w:szCs w:val="24"/>
                <w:lang w:val="el-GR"/>
              </w:rPr>
            </w:pPr>
            <w:r>
              <w:rPr>
                <w:sz w:val="24"/>
                <w:szCs w:val="24"/>
                <w:lang w:val="el-GR"/>
              </w:rPr>
              <w:t>1201 - 3200</w:t>
            </w:r>
          </w:p>
        </w:tc>
        <w:tc>
          <w:tcPr>
            <w:tcW w:w="2853" w:type="dxa"/>
            <w:tcBorders>
              <w:start w:val="single" w:sz="6" w:space="0" w:color="000000"/>
              <w:bottom w:val="single" w:sz="6" w:space="0" w:color="000000"/>
            </w:tcBorders>
          </w:tcPr>
          <w:p>
            <w:pPr>
              <w:pStyle w:val="Normal"/>
              <w:jc w:val="center"/>
              <w:rPr>
                <w:sz w:val="24"/>
                <w:szCs w:val="24"/>
                <w:lang w:val="el-GR"/>
              </w:rPr>
            </w:pPr>
            <w:r>
              <w:rPr>
                <w:sz w:val="24"/>
                <w:szCs w:val="24"/>
                <w:lang w:val="el-GR"/>
              </w:rPr>
              <w:t>50</w:t>
            </w:r>
          </w:p>
        </w:tc>
        <w:tc>
          <w:tcPr>
            <w:tcW w:w="3056" w:type="dxa"/>
            <w:tcBorders>
              <w:start w:val="single" w:sz="6" w:space="0" w:color="000000"/>
              <w:bottom w:val="single" w:sz="6" w:space="0" w:color="000000"/>
              <w:end w:val="single" w:sz="6" w:space="0" w:color="000000"/>
            </w:tcBorders>
          </w:tcPr>
          <w:p>
            <w:pPr>
              <w:pStyle w:val="Normal"/>
              <w:jc w:val="center"/>
              <w:rPr>
                <w:sz w:val="24"/>
                <w:szCs w:val="24"/>
                <w:lang w:val="el-GR"/>
              </w:rPr>
            </w:pPr>
            <w:r>
              <w:rPr>
                <w:sz w:val="24"/>
                <w:szCs w:val="24"/>
                <w:lang w:val="el-GR"/>
              </w:rPr>
              <w:t>5</w:t>
            </w:r>
          </w:p>
        </w:tc>
      </w:tr>
      <w:tr>
        <w:trPr/>
        <w:tc>
          <w:tcPr>
            <w:tcW w:w="2259" w:type="dxa"/>
            <w:tcBorders>
              <w:start w:val="single" w:sz="6" w:space="0" w:color="000000"/>
              <w:bottom w:val="single" w:sz="6" w:space="0" w:color="000000"/>
            </w:tcBorders>
          </w:tcPr>
          <w:p>
            <w:pPr>
              <w:pStyle w:val="Normal"/>
              <w:jc w:val="center"/>
              <w:rPr>
                <w:sz w:val="24"/>
                <w:szCs w:val="24"/>
                <w:lang w:val="el-GR"/>
              </w:rPr>
            </w:pPr>
            <w:r>
              <w:rPr>
                <w:sz w:val="24"/>
                <w:szCs w:val="24"/>
                <w:lang w:val="el-GR"/>
              </w:rPr>
              <w:t>3201 - 10000</w:t>
            </w:r>
          </w:p>
        </w:tc>
        <w:tc>
          <w:tcPr>
            <w:tcW w:w="2853" w:type="dxa"/>
            <w:tcBorders>
              <w:start w:val="single" w:sz="6" w:space="0" w:color="000000"/>
              <w:bottom w:val="single" w:sz="6" w:space="0" w:color="000000"/>
            </w:tcBorders>
          </w:tcPr>
          <w:p>
            <w:pPr>
              <w:pStyle w:val="Normal"/>
              <w:jc w:val="center"/>
              <w:rPr>
                <w:sz w:val="24"/>
                <w:szCs w:val="24"/>
                <w:lang w:val="el-GR"/>
              </w:rPr>
            </w:pPr>
            <w:r>
              <w:rPr>
                <w:sz w:val="24"/>
                <w:szCs w:val="24"/>
                <w:lang w:val="el-GR"/>
              </w:rPr>
              <w:t>80</w:t>
            </w:r>
          </w:p>
        </w:tc>
        <w:tc>
          <w:tcPr>
            <w:tcW w:w="3056" w:type="dxa"/>
            <w:tcBorders>
              <w:start w:val="single" w:sz="6" w:space="0" w:color="000000"/>
              <w:bottom w:val="single" w:sz="6" w:space="0" w:color="000000"/>
              <w:end w:val="single" w:sz="6" w:space="0" w:color="000000"/>
            </w:tcBorders>
          </w:tcPr>
          <w:p>
            <w:pPr>
              <w:pStyle w:val="Normal"/>
              <w:jc w:val="center"/>
              <w:rPr>
                <w:sz w:val="24"/>
                <w:szCs w:val="24"/>
                <w:lang w:val="el-GR"/>
              </w:rPr>
            </w:pPr>
            <w:r>
              <w:rPr>
                <w:sz w:val="24"/>
                <w:szCs w:val="24"/>
                <w:lang w:val="el-GR"/>
              </w:rPr>
              <w:t>7</w:t>
            </w:r>
          </w:p>
        </w:tc>
      </w:tr>
    </w:tbl>
    <w:p>
      <w:pPr>
        <w:pStyle w:val="Normal"/>
        <w:rPr>
          <w:lang w:val="el-GR"/>
        </w:rPr>
      </w:pPr>
      <w:r>
        <w:rPr>
          <w:lang w:val="el-GR"/>
        </w:rPr>
      </w:r>
    </w:p>
    <w:p>
      <w:pPr>
        <w:pStyle w:val="Normal"/>
        <w:rPr>
          <w:b/>
          <w:bCs/>
          <w:spacing w:val="-1"/>
          <w:sz w:val="24"/>
          <w:szCs w:val="24"/>
          <w:lang w:val="el-GR"/>
        </w:rPr>
      </w:pPr>
      <w:r>
        <w:rPr>
          <w:b/>
          <w:sz w:val="24"/>
          <w:szCs w:val="24"/>
          <w:lang w:val="el-GR"/>
        </w:rPr>
        <w:t xml:space="preserve">6.2.1.1 </w:t>
      </w:r>
      <w:r>
        <w:rPr>
          <w:sz w:val="24"/>
          <w:szCs w:val="24"/>
          <w:lang w:val="el-GR"/>
        </w:rPr>
        <w:t xml:space="preserve">Έλεγχος δευτερογενούς συσκευασίας </w:t>
      </w:r>
    </w:p>
    <w:p>
      <w:pPr>
        <w:pStyle w:val="Normal"/>
        <w:rPr>
          <w:b/>
          <w:bCs/>
          <w:spacing w:val="-1"/>
          <w:sz w:val="24"/>
          <w:szCs w:val="24"/>
          <w:lang w:val="el-GR"/>
        </w:rPr>
      </w:pPr>
      <w:r>
        <w:rPr>
          <w:b/>
          <w:bCs/>
          <w:spacing w:val="-1"/>
          <w:sz w:val="24"/>
          <w:szCs w:val="24"/>
          <w:lang w:val="el-GR"/>
        </w:rPr>
        <w:t xml:space="preserve">6.2.1.1.1 </w:t>
      </w:r>
      <w:r>
        <w:rPr>
          <w:bCs/>
          <w:spacing w:val="-2"/>
          <w:w w:val="106"/>
          <w:sz w:val="24"/>
          <w:szCs w:val="24"/>
          <w:u w:val="single"/>
          <w:lang w:val="el-GR"/>
        </w:rPr>
        <w:t>Ως παρτίδα</w:t>
      </w:r>
      <w:r>
        <w:rPr>
          <w:bCs/>
          <w:spacing w:val="-2"/>
          <w:w w:val="106"/>
          <w:sz w:val="24"/>
          <w:szCs w:val="24"/>
          <w:lang w:val="el-GR"/>
        </w:rPr>
        <w:t>, για τον έλεγχο εξωτερικής (δευτερογενούς) συσκευασίας,</w:t>
      </w:r>
      <w:r>
        <w:rPr>
          <w:b/>
          <w:bCs/>
          <w:spacing w:val="-2"/>
          <w:w w:val="106"/>
          <w:sz w:val="24"/>
          <w:szCs w:val="24"/>
          <w:lang w:val="el-GR"/>
        </w:rPr>
        <w:t xml:space="preserve"> </w:t>
      </w:r>
      <w:r>
        <w:rPr>
          <w:spacing w:val="-2"/>
          <w:w w:val="106"/>
          <w:sz w:val="24"/>
          <w:szCs w:val="24"/>
          <w:lang w:val="el-GR"/>
        </w:rPr>
        <w:t xml:space="preserve">θεωρείται η ποσότητα χαρτοκιβωτίων (τεμάχια) </w:t>
      </w:r>
      <w:r>
        <w:rPr>
          <w:bCs/>
          <w:spacing w:val="2"/>
          <w:w w:val="106"/>
          <w:sz w:val="24"/>
          <w:szCs w:val="24"/>
          <w:lang w:val="el-GR"/>
        </w:rPr>
        <w:t>που παραδίδονται</w:t>
      </w:r>
      <w:r>
        <w:rPr>
          <w:spacing w:val="-2"/>
          <w:w w:val="106"/>
          <w:sz w:val="24"/>
          <w:szCs w:val="24"/>
          <w:lang w:val="el-GR"/>
        </w:rPr>
        <w:t xml:space="preserve"> </w:t>
      </w:r>
      <w:r>
        <w:rPr>
          <w:spacing w:val="2"/>
          <w:w w:val="106"/>
          <w:sz w:val="24"/>
          <w:szCs w:val="24"/>
          <w:lang w:val="el-GR"/>
        </w:rPr>
        <w:t xml:space="preserve">από τον προμηθευτή </w:t>
      </w:r>
      <w:r>
        <w:rPr>
          <w:bCs/>
          <w:spacing w:val="2"/>
          <w:w w:val="106"/>
          <w:sz w:val="24"/>
          <w:szCs w:val="24"/>
          <w:lang w:val="el-GR"/>
        </w:rPr>
        <w:t>σε</w:t>
      </w:r>
      <w:r>
        <w:rPr>
          <w:sz w:val="24"/>
          <w:szCs w:val="24"/>
          <w:lang w:val="el-GR"/>
        </w:rPr>
        <w:t xml:space="preserve"> </w:t>
      </w:r>
      <w:r>
        <w:rPr>
          <w:bCs/>
          <w:spacing w:val="-2"/>
          <w:sz w:val="24"/>
          <w:szCs w:val="24"/>
          <w:u w:val="single"/>
          <w:lang w:val="el-GR"/>
        </w:rPr>
        <w:t>συγκεκριμένη   ημερομηνία</w:t>
      </w:r>
      <w:r>
        <w:rPr>
          <w:bCs/>
          <w:spacing w:val="-2"/>
          <w:sz w:val="24"/>
          <w:szCs w:val="24"/>
          <w:lang w:val="el-GR"/>
        </w:rPr>
        <w:t>.</w:t>
      </w:r>
      <w:r>
        <w:rPr>
          <w:b/>
          <w:bCs/>
          <w:spacing w:val="-2"/>
          <w:sz w:val="24"/>
          <w:szCs w:val="24"/>
          <w:lang w:val="el-GR"/>
        </w:rPr>
        <w:t xml:space="preserve"> </w:t>
      </w:r>
    </w:p>
    <w:p>
      <w:pPr>
        <w:pStyle w:val="Normal"/>
        <w:rPr>
          <w:b/>
          <w:bCs/>
          <w:spacing w:val="-1"/>
          <w:sz w:val="24"/>
          <w:szCs w:val="24"/>
          <w:lang w:val="el-GR"/>
        </w:rPr>
      </w:pPr>
      <w:r>
        <w:rPr>
          <w:b/>
          <w:bCs/>
          <w:spacing w:val="-1"/>
          <w:sz w:val="24"/>
          <w:szCs w:val="24"/>
          <w:lang w:val="el-GR"/>
        </w:rPr>
        <w:t xml:space="preserve">6.2.1.1.2 </w:t>
      </w:r>
      <w:r>
        <w:rPr>
          <w:bCs/>
          <w:w w:val="106"/>
          <w:sz w:val="24"/>
          <w:szCs w:val="24"/>
          <w:u w:val="single"/>
          <w:lang w:val="el-GR"/>
        </w:rPr>
        <w:t>Ως δείγμα</w:t>
      </w:r>
      <w:r>
        <w:rPr>
          <w:b/>
          <w:bCs/>
          <w:w w:val="106"/>
          <w:sz w:val="24"/>
          <w:szCs w:val="24"/>
          <w:lang w:val="el-GR"/>
        </w:rPr>
        <w:t xml:space="preserve"> </w:t>
      </w:r>
      <w:r>
        <w:rPr>
          <w:w w:val="106"/>
          <w:sz w:val="24"/>
          <w:szCs w:val="24"/>
          <w:lang w:val="el-GR"/>
        </w:rPr>
        <w:t>θεωρείται το σύνολο των τεμαχίων συσκευασίας, που ελέγχεται μακροσκοπικά από την ΕΠ.</w:t>
      </w:r>
    </w:p>
    <w:p>
      <w:pPr>
        <w:pStyle w:val="Normal"/>
        <w:rPr>
          <w:b/>
          <w:bCs/>
          <w:spacing w:val="-1"/>
          <w:sz w:val="24"/>
          <w:szCs w:val="24"/>
          <w:lang w:val="el-GR"/>
        </w:rPr>
      </w:pPr>
      <w:r>
        <w:rPr>
          <w:b/>
          <w:bCs/>
          <w:spacing w:val="-1"/>
          <w:sz w:val="24"/>
          <w:szCs w:val="24"/>
          <w:lang w:val="el-GR"/>
        </w:rPr>
        <w:t xml:space="preserve">6.2.1.1.3 </w:t>
      </w:r>
      <w:r>
        <w:rPr>
          <w:spacing w:val="2"/>
          <w:sz w:val="24"/>
          <w:szCs w:val="24"/>
          <w:lang w:val="el-GR"/>
        </w:rPr>
        <w:t xml:space="preserve">Τα τεμάχια του δείγματος επιλέγονται </w:t>
      </w:r>
      <w:r>
        <w:rPr>
          <w:bCs/>
          <w:spacing w:val="2"/>
          <w:sz w:val="24"/>
          <w:szCs w:val="24"/>
          <w:u w:val="single"/>
          <w:lang w:val="el-GR"/>
        </w:rPr>
        <w:t>τυχαία</w:t>
      </w:r>
      <w:r>
        <w:rPr>
          <w:b/>
          <w:bCs/>
          <w:spacing w:val="2"/>
          <w:sz w:val="24"/>
          <w:szCs w:val="24"/>
          <w:lang w:val="el-GR"/>
        </w:rPr>
        <w:t xml:space="preserve"> </w:t>
      </w:r>
      <w:r>
        <w:rPr>
          <w:spacing w:val="2"/>
          <w:sz w:val="24"/>
          <w:szCs w:val="24"/>
          <w:lang w:val="el-GR"/>
        </w:rPr>
        <w:t xml:space="preserve">από την παρτίδα. </w:t>
      </w:r>
    </w:p>
    <w:p>
      <w:pPr>
        <w:pStyle w:val="Normal"/>
        <w:rPr/>
      </w:pPr>
      <w:r>
        <w:rPr>
          <w:b/>
          <w:bCs/>
          <w:spacing w:val="-1"/>
          <w:sz w:val="24"/>
          <w:szCs w:val="24"/>
          <w:lang w:val="el-GR"/>
        </w:rPr>
        <w:t xml:space="preserve">6.2.1.1.4 </w:t>
      </w:r>
      <w:r>
        <w:rPr>
          <w:bCs/>
          <w:spacing w:val="-1"/>
          <w:sz w:val="24"/>
          <w:szCs w:val="24"/>
          <w:u w:val="single"/>
          <w:lang w:val="el-GR"/>
        </w:rPr>
        <w:t>Ως ελαττωματικό</w:t>
      </w:r>
      <w:r>
        <w:rPr>
          <w:bCs/>
          <w:spacing w:val="-1"/>
          <w:sz w:val="24"/>
          <w:szCs w:val="24"/>
          <w:lang w:val="el-GR"/>
        </w:rPr>
        <w:t xml:space="preserve"> θεωρείται </w:t>
      </w:r>
      <w:r>
        <w:rPr>
          <w:bCs/>
          <w:spacing w:val="-1"/>
          <w:sz w:val="24"/>
          <w:szCs w:val="24"/>
          <w:u w:val="single"/>
          <w:lang w:val="el-GR"/>
        </w:rPr>
        <w:t>ένα τεμάχιο του δείγματος</w:t>
      </w:r>
      <w:r>
        <w:rPr>
          <w:bCs/>
          <w:spacing w:val="-1"/>
          <w:sz w:val="24"/>
          <w:szCs w:val="24"/>
          <w:lang w:val="el-GR"/>
        </w:rPr>
        <w:t xml:space="preserve">, </w:t>
      </w:r>
      <w:r>
        <w:rPr>
          <w:spacing w:val="-2"/>
          <w:sz w:val="24"/>
          <w:szCs w:val="24"/>
          <w:lang w:val="el-GR"/>
        </w:rPr>
        <w:t>όταν διαπιστωθούν ελλείψεις ή ασυμφωνία</w:t>
      </w:r>
      <w:r>
        <w:rPr>
          <w:sz w:val="24"/>
          <w:szCs w:val="24"/>
          <w:lang w:val="el-GR"/>
        </w:rPr>
        <w:t xml:space="preserve"> </w:t>
      </w:r>
      <w:r>
        <w:rPr>
          <w:spacing w:val="-5"/>
          <w:sz w:val="24"/>
          <w:szCs w:val="24"/>
          <w:lang w:val="el-GR"/>
        </w:rPr>
        <w:t>με τα αναγραφόμενα στις</w:t>
      </w:r>
      <w:r>
        <w:rPr>
          <w:sz w:val="24"/>
          <w:szCs w:val="24"/>
          <w:lang w:val="el-GR"/>
        </w:rPr>
        <w:t xml:space="preserve"> §§ 5.1.2 και 5.2.2 καθώς και όταν διαπιστωθεί σχίσιμο / θραύση ή σημαντική παραμόρφωση του χαρτοκιβωτίου.</w:t>
      </w:r>
    </w:p>
    <w:p>
      <w:pPr>
        <w:pStyle w:val="Normal"/>
        <w:rPr/>
      </w:pPr>
      <w:r>
        <w:rPr/>
      </w:r>
    </w:p>
    <w:p>
      <w:pPr>
        <w:pStyle w:val="Normal"/>
        <w:rPr>
          <w:b/>
          <w:bCs/>
          <w:color w:val="000000"/>
          <w:spacing w:val="-1"/>
          <w:sz w:val="24"/>
          <w:szCs w:val="24"/>
          <w:lang w:val="el-GR"/>
        </w:rPr>
      </w:pPr>
      <w:r>
        <w:rPr>
          <w:b/>
          <w:sz w:val="24"/>
          <w:szCs w:val="24"/>
          <w:lang w:val="el-GR"/>
        </w:rPr>
        <w:t xml:space="preserve">6.2.1.2 </w:t>
      </w:r>
      <w:r>
        <w:rPr>
          <w:sz w:val="24"/>
          <w:szCs w:val="24"/>
          <w:lang w:val="el-GR"/>
        </w:rPr>
        <w:t xml:space="preserve">Έλεγχος διακριτικών με και χωρίς πρωτογενή συσκευασία </w:t>
      </w:r>
    </w:p>
    <w:p>
      <w:pPr>
        <w:pStyle w:val="Normal"/>
        <w:rPr>
          <w:b/>
          <w:bCs/>
          <w:color w:val="000000"/>
          <w:spacing w:val="-1"/>
          <w:sz w:val="24"/>
          <w:szCs w:val="24"/>
          <w:lang w:val="el-GR"/>
        </w:rPr>
      </w:pPr>
      <w:r>
        <w:rPr>
          <w:b/>
          <w:bCs/>
          <w:color w:val="000000"/>
          <w:spacing w:val="-1"/>
          <w:sz w:val="24"/>
          <w:szCs w:val="24"/>
          <w:lang w:val="el-GR"/>
        </w:rPr>
        <w:t xml:space="preserve">6.2.1.2.1 </w:t>
      </w:r>
      <w:r>
        <w:rPr>
          <w:rFonts w:eastAsia="Times New Roman" w:cs="Arial"/>
          <w:bCs/>
          <w:color w:val="000000"/>
          <w:spacing w:val="-2"/>
          <w:w w:val="106"/>
          <w:sz w:val="24"/>
          <w:szCs w:val="24"/>
          <w:u w:val="single"/>
          <w:lang w:val="el-GR"/>
        </w:rPr>
        <w:t>Ως παρτίδα</w:t>
      </w:r>
      <w:r>
        <w:rPr>
          <w:rFonts w:eastAsia="Times New Roman" w:cs="Arial"/>
          <w:bCs/>
          <w:color w:val="000000"/>
          <w:spacing w:val="-2"/>
          <w:w w:val="106"/>
          <w:sz w:val="24"/>
          <w:szCs w:val="24"/>
          <w:lang w:val="el-GR"/>
        </w:rPr>
        <w:t>, για τον έλεγχο είδους / πρωτογενούς συσκευασίας,</w:t>
      </w:r>
      <w:r>
        <w:rPr>
          <w:rFonts w:eastAsia="Times New Roman" w:cs="Arial"/>
          <w:b/>
          <w:bCs/>
          <w:color w:val="000000"/>
          <w:spacing w:val="-2"/>
          <w:w w:val="106"/>
          <w:sz w:val="24"/>
          <w:szCs w:val="24"/>
          <w:lang w:val="el-GR"/>
        </w:rPr>
        <w:t xml:space="preserve"> </w:t>
      </w:r>
      <w:r>
        <w:rPr>
          <w:rFonts w:eastAsia="Times New Roman" w:cs="Arial"/>
          <w:color w:val="000000"/>
          <w:spacing w:val="-2"/>
          <w:w w:val="106"/>
          <w:sz w:val="24"/>
          <w:szCs w:val="24"/>
          <w:lang w:val="el-GR"/>
        </w:rPr>
        <w:t>θεωρείται η ποσότητα διακριτικών με πρωτογενή συσκευασία</w:t>
      </w:r>
      <w:r>
        <w:rPr>
          <w:rFonts w:eastAsia="Times New Roman" w:cs="Arial"/>
          <w:b/>
          <w:bCs/>
          <w:color w:val="000000"/>
          <w:spacing w:val="2"/>
          <w:w w:val="106"/>
          <w:sz w:val="24"/>
          <w:szCs w:val="24"/>
          <w:lang w:val="el-GR"/>
        </w:rPr>
        <w:t xml:space="preserve"> </w:t>
      </w:r>
      <w:r>
        <w:rPr>
          <w:rFonts w:eastAsia="Times New Roman" w:cs="Arial"/>
          <w:bCs/>
          <w:color w:val="000000"/>
          <w:spacing w:val="2"/>
          <w:w w:val="106"/>
          <w:sz w:val="24"/>
          <w:szCs w:val="24"/>
          <w:lang w:val="el-GR"/>
        </w:rPr>
        <w:t xml:space="preserve">του ίδιου βαθμού </w:t>
      </w:r>
      <w:r>
        <w:rPr>
          <w:rFonts w:eastAsia="Times New Roman" w:cs="Arial"/>
          <w:color w:val="000000"/>
          <w:spacing w:val="2"/>
          <w:w w:val="106"/>
          <w:sz w:val="24"/>
          <w:szCs w:val="24"/>
          <w:lang w:val="el-GR"/>
        </w:rPr>
        <w:t xml:space="preserve">που </w:t>
      </w:r>
      <w:r>
        <w:rPr>
          <w:rFonts w:eastAsia="Times New Roman" w:cs="Arial"/>
          <w:bCs/>
          <w:color w:val="000000"/>
          <w:spacing w:val="2"/>
          <w:w w:val="106"/>
          <w:sz w:val="24"/>
          <w:szCs w:val="24"/>
          <w:lang w:val="el-GR"/>
        </w:rPr>
        <w:t>παραδίδεται</w:t>
      </w:r>
      <w:r>
        <w:rPr>
          <w:rFonts w:eastAsia="Times New Roman" w:cs="Arial"/>
          <w:color w:val="000000"/>
          <w:spacing w:val="2"/>
          <w:w w:val="106"/>
          <w:sz w:val="24"/>
          <w:szCs w:val="24"/>
          <w:lang w:val="el-GR"/>
        </w:rPr>
        <w:t xml:space="preserve"> από τον προμηθευτή </w:t>
      </w:r>
      <w:r>
        <w:rPr>
          <w:rFonts w:eastAsia="Times New Roman" w:cs="Arial"/>
          <w:bCs/>
          <w:color w:val="000000"/>
          <w:spacing w:val="2"/>
          <w:w w:val="106"/>
          <w:sz w:val="24"/>
          <w:szCs w:val="24"/>
          <w:u w:val="single"/>
          <w:lang w:val="el-GR"/>
        </w:rPr>
        <w:t xml:space="preserve">σε </w:t>
      </w:r>
      <w:r>
        <w:rPr>
          <w:rFonts w:eastAsia="Times New Roman" w:cs="Arial"/>
          <w:bCs/>
          <w:color w:val="000000"/>
          <w:spacing w:val="-2"/>
          <w:sz w:val="24"/>
          <w:szCs w:val="24"/>
          <w:u w:val="single"/>
          <w:lang w:val="el-GR"/>
        </w:rPr>
        <w:t>συγκεκριμένη  ημερομηνία</w:t>
      </w:r>
      <w:r>
        <w:rPr>
          <w:rFonts w:eastAsia="Times New Roman" w:cs="Arial"/>
          <w:bCs/>
          <w:color w:val="000000"/>
          <w:spacing w:val="-2"/>
          <w:sz w:val="24"/>
          <w:szCs w:val="24"/>
          <w:lang w:val="el-GR"/>
        </w:rPr>
        <w:t>.</w:t>
      </w:r>
      <w:r>
        <w:rPr>
          <w:rFonts w:eastAsia="Times New Roman" w:cs="Arial"/>
          <w:b/>
          <w:bCs/>
          <w:color w:val="000000"/>
          <w:spacing w:val="-2"/>
          <w:sz w:val="24"/>
          <w:szCs w:val="24"/>
          <w:lang w:val="el-GR"/>
        </w:rPr>
        <w:t xml:space="preserve">   </w:t>
      </w:r>
    </w:p>
    <w:p>
      <w:pPr>
        <w:pStyle w:val="Normal"/>
        <w:rPr>
          <w:b/>
          <w:bCs/>
          <w:color w:val="000000"/>
          <w:spacing w:val="-1"/>
          <w:sz w:val="24"/>
          <w:szCs w:val="24"/>
          <w:lang w:val="el-GR"/>
        </w:rPr>
      </w:pPr>
      <w:r>
        <w:rPr>
          <w:b/>
          <w:bCs/>
          <w:color w:val="000000"/>
          <w:spacing w:val="-1"/>
          <w:sz w:val="24"/>
          <w:szCs w:val="24"/>
          <w:lang w:val="el-GR"/>
        </w:rPr>
        <w:t xml:space="preserve">6.2.1.2.2 </w:t>
      </w:r>
      <w:r>
        <w:rPr>
          <w:bCs/>
          <w:w w:val="106"/>
          <w:sz w:val="24"/>
          <w:szCs w:val="24"/>
          <w:u w:val="single"/>
          <w:lang w:val="el-GR"/>
        </w:rPr>
        <w:t>Ως δείγμα</w:t>
      </w:r>
      <w:r>
        <w:rPr>
          <w:b/>
          <w:bCs/>
          <w:w w:val="106"/>
          <w:sz w:val="24"/>
          <w:szCs w:val="24"/>
          <w:lang w:val="el-GR"/>
        </w:rPr>
        <w:t xml:space="preserve"> </w:t>
      </w:r>
      <w:r>
        <w:rPr>
          <w:w w:val="106"/>
          <w:sz w:val="24"/>
          <w:szCs w:val="24"/>
          <w:lang w:val="el-GR"/>
        </w:rPr>
        <w:t>θεωρείται το σύνολο των τεμαχίων, που ελέγχεται μακροσκοπικά από την ΕΠ.</w:t>
      </w:r>
      <w:r>
        <w:rPr>
          <w:b/>
          <w:bCs/>
          <w:color w:val="000000"/>
          <w:spacing w:val="-1"/>
          <w:sz w:val="24"/>
          <w:szCs w:val="24"/>
          <w:lang w:val="el-GR"/>
        </w:rPr>
        <w:t xml:space="preserve"> </w:t>
      </w:r>
      <w:r>
        <w:rPr>
          <w:color w:val="000000"/>
          <w:spacing w:val="2"/>
          <w:sz w:val="24"/>
          <w:szCs w:val="24"/>
          <w:lang w:val="el-GR"/>
        </w:rPr>
        <w:t xml:space="preserve">Τα τεμάχια του δείγματος επιλέγονται </w:t>
      </w:r>
      <w:r>
        <w:rPr>
          <w:bCs/>
          <w:color w:val="000000"/>
          <w:spacing w:val="2"/>
          <w:sz w:val="24"/>
          <w:szCs w:val="24"/>
          <w:u w:val="single"/>
          <w:lang w:val="el-GR"/>
        </w:rPr>
        <w:t>τυχαία</w:t>
      </w:r>
      <w:r>
        <w:rPr>
          <w:b/>
          <w:bCs/>
          <w:color w:val="000000"/>
          <w:spacing w:val="2"/>
          <w:sz w:val="24"/>
          <w:szCs w:val="24"/>
          <w:lang w:val="el-GR"/>
        </w:rPr>
        <w:t xml:space="preserve"> </w:t>
      </w:r>
      <w:r>
        <w:rPr>
          <w:color w:val="000000"/>
          <w:spacing w:val="2"/>
          <w:sz w:val="24"/>
          <w:szCs w:val="24"/>
          <w:lang w:val="el-GR"/>
        </w:rPr>
        <w:t>από την παρτίδα και επιδιώκεται να καλύπτονται αν είναι εφικτό όλα τα διαθέσιμα διακριτικά βαθμού και ειδικοτήτων της παρτίδας.</w:t>
      </w:r>
    </w:p>
    <w:p>
      <w:pPr>
        <w:pStyle w:val="Normal"/>
        <w:rPr>
          <w:b/>
          <w:bCs/>
          <w:color w:val="000000"/>
          <w:spacing w:val="-1"/>
          <w:sz w:val="24"/>
          <w:szCs w:val="24"/>
          <w:lang w:val="el-GR"/>
        </w:rPr>
      </w:pPr>
      <w:r>
        <w:rPr>
          <w:b/>
          <w:bCs/>
          <w:color w:val="000000"/>
          <w:spacing w:val="-1"/>
          <w:sz w:val="24"/>
          <w:szCs w:val="24"/>
          <w:lang w:val="el-GR"/>
        </w:rPr>
        <w:t xml:space="preserve">6.2.1.2.3 </w:t>
      </w:r>
      <w:r>
        <w:rPr>
          <w:bCs/>
          <w:color w:val="000000"/>
          <w:spacing w:val="-1"/>
          <w:sz w:val="24"/>
          <w:szCs w:val="24"/>
          <w:u w:val="single"/>
          <w:lang w:val="el-GR"/>
        </w:rPr>
        <w:t>Ως ελαττωματικό</w:t>
      </w:r>
      <w:r>
        <w:rPr>
          <w:bCs/>
          <w:color w:val="000000"/>
          <w:spacing w:val="-1"/>
          <w:sz w:val="24"/>
          <w:szCs w:val="24"/>
          <w:lang w:val="el-GR"/>
        </w:rPr>
        <w:t xml:space="preserve"> θεωρείται </w:t>
      </w:r>
      <w:r>
        <w:rPr>
          <w:bCs/>
          <w:color w:val="000000"/>
          <w:spacing w:val="-1"/>
          <w:sz w:val="24"/>
          <w:szCs w:val="24"/>
          <w:u w:val="single"/>
          <w:lang w:val="el-GR"/>
        </w:rPr>
        <w:t>ένα τεμάχιο του δείγματος</w:t>
      </w:r>
      <w:r>
        <w:rPr>
          <w:bCs/>
          <w:color w:val="000000"/>
          <w:spacing w:val="-1"/>
          <w:sz w:val="24"/>
          <w:szCs w:val="24"/>
          <w:lang w:val="el-GR"/>
        </w:rPr>
        <w:t xml:space="preserve">, </w:t>
      </w:r>
      <w:r>
        <w:rPr>
          <w:color w:val="000000"/>
          <w:spacing w:val="-2"/>
          <w:sz w:val="24"/>
          <w:szCs w:val="24"/>
          <w:lang w:val="el-GR"/>
        </w:rPr>
        <w:t>όταν διαπιστωθεί:</w:t>
      </w:r>
    </w:p>
    <w:p>
      <w:pPr>
        <w:pStyle w:val="Normal"/>
        <w:rPr>
          <w:b/>
          <w:bCs/>
          <w:color w:val="000000"/>
          <w:spacing w:val="-1"/>
          <w:sz w:val="24"/>
          <w:szCs w:val="24"/>
          <w:lang w:val="el-GR"/>
        </w:rPr>
      </w:pPr>
      <w:r>
        <w:rPr>
          <w:b/>
          <w:bCs/>
          <w:color w:val="000000"/>
          <w:spacing w:val="-1"/>
          <w:sz w:val="24"/>
          <w:szCs w:val="24"/>
          <w:lang w:val="el-GR"/>
        </w:rPr>
        <w:t>6.2.1.2.3</w:t>
      </w:r>
      <w:r>
        <w:rPr>
          <w:b/>
          <w:sz w:val="24"/>
          <w:szCs w:val="24"/>
          <w:lang w:val="el-GR"/>
        </w:rPr>
        <w:t xml:space="preserve">.1 </w:t>
      </w:r>
      <w:r>
        <w:rPr>
          <w:sz w:val="24"/>
          <w:szCs w:val="24"/>
          <w:lang w:val="el-GR"/>
        </w:rPr>
        <w:t xml:space="preserve"> Έλλειψη / ασυμφωνία με τα αναγραφόμενα στην § 5.2.1.</w:t>
      </w:r>
    </w:p>
    <w:p>
      <w:pPr>
        <w:pStyle w:val="Normal"/>
        <w:rPr>
          <w:b/>
          <w:bCs/>
          <w:color w:val="000000"/>
          <w:spacing w:val="-1"/>
          <w:sz w:val="24"/>
          <w:szCs w:val="24"/>
          <w:lang w:val="el-GR"/>
        </w:rPr>
      </w:pPr>
      <w:r>
        <w:rPr>
          <w:b/>
          <w:bCs/>
          <w:color w:val="000000"/>
          <w:spacing w:val="-1"/>
          <w:sz w:val="24"/>
          <w:szCs w:val="24"/>
          <w:lang w:val="el-GR"/>
        </w:rPr>
        <w:t>6.2.1.2.3</w:t>
      </w:r>
      <w:r>
        <w:rPr>
          <w:b/>
          <w:sz w:val="24"/>
          <w:szCs w:val="24"/>
          <w:lang w:val="el-GR"/>
        </w:rPr>
        <w:t>.2</w:t>
      </w:r>
      <w:r>
        <w:rPr>
          <w:sz w:val="24"/>
          <w:szCs w:val="24"/>
          <w:lang w:val="el-GR"/>
        </w:rPr>
        <w:t xml:space="preserve"> Έλλειψη / φθορά πρωτογενούς συσκευασίας</w:t>
      </w:r>
    </w:p>
    <w:p>
      <w:pPr>
        <w:pStyle w:val="Normal"/>
        <w:rPr>
          <w:b/>
          <w:bCs/>
          <w:color w:val="000000"/>
          <w:spacing w:val="-1"/>
          <w:sz w:val="24"/>
          <w:szCs w:val="24"/>
          <w:lang w:val="el-GR"/>
        </w:rPr>
      </w:pPr>
      <w:r>
        <w:rPr>
          <w:b/>
          <w:bCs/>
          <w:color w:val="000000"/>
          <w:spacing w:val="-1"/>
          <w:sz w:val="24"/>
          <w:szCs w:val="24"/>
          <w:lang w:val="el-GR"/>
        </w:rPr>
        <w:t>6.2.1.2.3</w:t>
      </w:r>
      <w:r>
        <w:rPr>
          <w:b/>
          <w:sz w:val="24"/>
          <w:szCs w:val="24"/>
          <w:lang w:val="el-GR"/>
        </w:rPr>
        <w:t>.3</w:t>
      </w:r>
      <w:r>
        <w:rPr>
          <w:sz w:val="24"/>
          <w:szCs w:val="24"/>
          <w:lang w:val="el-GR"/>
        </w:rPr>
        <w:t xml:space="preserve"> Ύπαρξη ακαλαίσθητων σημείων και ατελειών στις ραφές (π.χ. ξέφτια, στραβά γαζιά, μη «τελειωμένες» ραφές) και γενικότερα μη επιμελημένη κατασκευή.</w:t>
      </w:r>
    </w:p>
    <w:p>
      <w:pPr>
        <w:pStyle w:val="Normal"/>
        <w:rPr>
          <w:b/>
          <w:bCs/>
          <w:color w:val="000000"/>
          <w:spacing w:val="-1"/>
          <w:sz w:val="24"/>
          <w:szCs w:val="24"/>
          <w:lang w:val="el-GR"/>
        </w:rPr>
      </w:pPr>
      <w:r>
        <w:rPr>
          <w:b/>
          <w:bCs/>
          <w:color w:val="000000"/>
          <w:spacing w:val="-1"/>
          <w:sz w:val="24"/>
          <w:szCs w:val="24"/>
          <w:lang w:val="el-GR"/>
        </w:rPr>
        <w:t>6.2.1.2.3</w:t>
      </w:r>
      <w:r>
        <w:rPr>
          <w:b/>
          <w:sz w:val="24"/>
          <w:szCs w:val="24"/>
          <w:lang w:val="el-GR"/>
        </w:rPr>
        <w:t>.4</w:t>
      </w:r>
      <w:r>
        <w:rPr>
          <w:sz w:val="24"/>
          <w:szCs w:val="24"/>
          <w:lang w:val="el-GR"/>
        </w:rPr>
        <w:t xml:space="preserve"> Ανομοιομορφία βαφής ή/και φινιρίσματος του υφάσματος βάσης.</w:t>
      </w:r>
    </w:p>
    <w:p>
      <w:pPr>
        <w:pStyle w:val="Normal"/>
        <w:rPr>
          <w:b/>
          <w:sz w:val="24"/>
          <w:szCs w:val="24"/>
          <w:lang w:val="el-GR"/>
        </w:rPr>
      </w:pPr>
      <w:r>
        <w:rPr>
          <w:b/>
          <w:bCs/>
          <w:color w:val="000000"/>
          <w:spacing w:val="-1"/>
          <w:sz w:val="24"/>
          <w:szCs w:val="24"/>
          <w:lang w:val="el-GR"/>
        </w:rPr>
        <w:t>5.2.1.2.3</w:t>
      </w:r>
      <w:r>
        <w:rPr>
          <w:b/>
          <w:sz w:val="24"/>
          <w:szCs w:val="24"/>
          <w:lang w:val="el-GR"/>
        </w:rPr>
        <w:t xml:space="preserve">.5 </w:t>
      </w:r>
      <w:r>
        <w:rPr>
          <w:sz w:val="24"/>
          <w:szCs w:val="24"/>
          <w:lang w:val="el-GR"/>
        </w:rPr>
        <w:t>Επιφανειακά εξωτερικά ελαττώματα, όπως σχισίματα, τρύπες, καψίματα, μόνιμα στίγματα, κηλίδες ή οποιαδήποτε αλλοίωση της εξωτερικής επιφάνειας του υλικού .</w:t>
      </w:r>
    </w:p>
    <w:p>
      <w:pPr>
        <w:pStyle w:val="Normal"/>
        <w:rPr>
          <w:b/>
          <w:sz w:val="24"/>
          <w:szCs w:val="24"/>
          <w:lang w:val="el-GR"/>
        </w:rPr>
      </w:pPr>
      <w:r>
        <w:rPr>
          <w:b/>
          <w:sz w:val="24"/>
          <w:szCs w:val="24"/>
          <w:lang w:val="el-GR"/>
        </w:rPr>
      </w:r>
    </w:p>
    <w:p>
      <w:pPr>
        <w:pStyle w:val="Normal"/>
        <w:rPr>
          <w:b/>
          <w:sz w:val="24"/>
          <w:szCs w:val="24"/>
          <w:lang w:val="el-GR"/>
        </w:rPr>
      </w:pPr>
      <w:r>
        <w:rPr>
          <w:b/>
          <w:spacing w:val="1"/>
          <w:sz w:val="24"/>
          <w:szCs w:val="24"/>
          <w:lang w:val="el-GR"/>
        </w:rPr>
        <w:t xml:space="preserve">6.2.3 </w:t>
      </w:r>
      <w:r>
        <w:rPr>
          <w:spacing w:val="1"/>
          <w:sz w:val="24"/>
          <w:szCs w:val="24"/>
          <w:lang w:val="el-GR"/>
        </w:rPr>
        <w:t>Επιβολή έκπτωσης - Απόρριψη παρτίδας</w:t>
      </w:r>
      <w:r>
        <w:rPr>
          <w:b/>
          <w:spacing w:val="1"/>
          <w:sz w:val="24"/>
          <w:szCs w:val="24"/>
          <w:lang w:val="el-GR"/>
        </w:rPr>
        <w:t xml:space="preserve"> </w:t>
      </w:r>
    </w:p>
    <w:p>
      <w:pPr>
        <w:pStyle w:val="Normal"/>
        <w:rPr>
          <w:b/>
          <w:sz w:val="24"/>
          <w:szCs w:val="24"/>
          <w:lang w:val="el-GR"/>
        </w:rPr>
      </w:pPr>
      <w:r>
        <w:rPr>
          <w:b/>
          <w:sz w:val="24"/>
          <w:szCs w:val="24"/>
          <w:lang w:val="el-GR"/>
        </w:rPr>
        <w:t>6.2.3.1</w:t>
      </w:r>
      <w:r>
        <w:rPr>
          <w:sz w:val="24"/>
          <w:szCs w:val="24"/>
          <w:lang w:val="el-GR"/>
        </w:rPr>
        <w:t xml:space="preserve"> Αν κατά το μακροσκοπικό</w:t>
      </w:r>
      <w:r>
        <w:rPr>
          <w:b/>
          <w:sz w:val="24"/>
          <w:szCs w:val="24"/>
          <w:lang w:val="el-GR"/>
        </w:rPr>
        <w:t xml:space="preserve"> </w:t>
      </w:r>
      <w:r>
        <w:rPr>
          <w:sz w:val="24"/>
          <w:szCs w:val="24"/>
          <w:lang w:val="el-GR"/>
        </w:rPr>
        <w:t>έλεγχο της § 6.2.1.1 βρεθεί αριθμός ελαττωματικών χαρτοκιβωτίων (δευτερογενών συσκευασιών) μικρότερος ή ίσος από τον αναγραφόμενο  στον  πίνακα  δειγματοληψίας  § 6.2.1, με την προϋπόθεση ότι δεν έχουν υποστεί φθορά ή αλλοίωση τα περιεχόμενα υλικά, τότε η ΕΠ επιβάλει την αντικατάσταση των ελαττωματικών χαρτοκιβωτίων.</w:t>
      </w:r>
    </w:p>
    <w:p>
      <w:pPr>
        <w:pStyle w:val="Normal"/>
        <w:rPr>
          <w:b/>
          <w:sz w:val="24"/>
          <w:szCs w:val="24"/>
          <w:lang w:val="el-GR"/>
        </w:rPr>
      </w:pPr>
      <w:r>
        <w:rPr>
          <w:b/>
          <w:sz w:val="24"/>
          <w:szCs w:val="24"/>
          <w:lang w:val="el-GR"/>
        </w:rPr>
        <w:t>6.2.3.2</w:t>
      </w:r>
      <w:r>
        <w:rPr>
          <w:sz w:val="24"/>
          <w:szCs w:val="24"/>
          <w:lang w:val="el-GR"/>
        </w:rPr>
        <w:t xml:space="preserve"> Αν κατά το μακροσκοπικό</w:t>
      </w:r>
      <w:r>
        <w:rPr>
          <w:b/>
          <w:sz w:val="24"/>
          <w:szCs w:val="24"/>
          <w:lang w:val="el-GR"/>
        </w:rPr>
        <w:t xml:space="preserve"> </w:t>
      </w:r>
      <w:r>
        <w:rPr>
          <w:sz w:val="24"/>
          <w:szCs w:val="24"/>
          <w:lang w:val="el-GR"/>
        </w:rPr>
        <w:t xml:space="preserve">έλεγχο της § 6.2.1.1 βρεθεί αριθμός ελαττωματικών χαρτοκιβωτίων (δευτερογενών συσκευασιών) μεγαλύτερο από τον αναγραφόμενο  στον  πίνακα  δειγματοληψίας  § 6.2.1, με την προϋπόθεση ότι δεν έχουν υποστεί φθορά ή αλλοίωση τα περιεχόμενα υλικά, τότε η ΕΠ ανάλογα με το πλήθος και τη βαρύτητα των ευρημάτων δύναται είτε να επιβάλει την αντικατάσταση των ελαττωματικών χαρτοκιβωτίων, είτε να προτείνει την απόρριψη της παρτίδας. </w:t>
      </w:r>
    </w:p>
    <w:p>
      <w:pPr>
        <w:pStyle w:val="Normal"/>
        <w:rPr>
          <w:b/>
          <w:sz w:val="24"/>
          <w:szCs w:val="24"/>
          <w:lang w:val="el-GR"/>
        </w:rPr>
      </w:pPr>
      <w:r>
        <w:rPr>
          <w:b/>
          <w:sz w:val="24"/>
          <w:szCs w:val="24"/>
          <w:lang w:val="el-GR"/>
        </w:rPr>
        <w:t xml:space="preserve">6.2.3.3 </w:t>
      </w:r>
      <w:r>
        <w:rPr>
          <w:sz w:val="24"/>
          <w:szCs w:val="24"/>
          <w:u w:val="single"/>
          <w:lang w:val="el-GR"/>
        </w:rPr>
        <w:t>Εφόσον στις ανωτέρω περιπτώσεις βρεθεί ότι</w:t>
      </w:r>
      <w:r>
        <w:rPr>
          <w:b/>
          <w:sz w:val="24"/>
          <w:szCs w:val="24"/>
          <w:lang w:val="el-GR"/>
        </w:rPr>
        <w:t xml:space="preserve"> </w:t>
      </w:r>
      <w:r>
        <w:rPr>
          <w:sz w:val="24"/>
          <w:szCs w:val="24"/>
          <w:lang w:val="el-GR"/>
        </w:rPr>
        <w:t>τα περιεχόμενα υλικά έχουν υποστεί φθορά ή αλλοίωση, τότε ανεξαρτήτως των προαναφερομένων,  η ΕΠ θα προβεί στον έλεγχο του συνολικού αριθμού χαρτοκιβωτίων της παρτίδας, ελέγχοντας για φθαρμένα χαρτοκιβώτια σύμφωνα με § 6.2.1.1.4 και ύπαρξη εντός αυτών φθαρμένων περιεχόμενων υλικών (πρωτογενείς συσκευασίες). Κατόπιν αυτού του ελέγχου, η ΕΠ δύναται να πράξει τα ακόλουθα:</w:t>
      </w:r>
    </w:p>
    <w:p>
      <w:pPr>
        <w:pStyle w:val="Normal"/>
        <w:rPr>
          <w:b/>
          <w:sz w:val="24"/>
          <w:szCs w:val="24"/>
          <w:lang w:val="el-GR"/>
        </w:rPr>
      </w:pPr>
      <w:r>
        <w:rPr>
          <w:b/>
          <w:sz w:val="24"/>
          <w:szCs w:val="24"/>
          <w:lang w:val="el-GR"/>
        </w:rPr>
        <w:t>6.2.3.3.1</w:t>
      </w:r>
      <w:r>
        <w:rPr>
          <w:sz w:val="24"/>
          <w:szCs w:val="24"/>
          <w:lang w:val="el-GR"/>
        </w:rPr>
        <w:t xml:space="preserve"> Την επιβολή αντικατάστασης του συνόλου τόσο των φθαρμένων περιεχόμενων υλικών (πρωτογενείς συσκευασίες) όσο και των ελαττωματικών χαρτοκιβωτίων με άλλα μη ελαττωματικά / μη φθαρμένα. </w:t>
      </w:r>
    </w:p>
    <w:p>
      <w:pPr>
        <w:pStyle w:val="Normal"/>
        <w:rPr>
          <w:sz w:val="24"/>
          <w:szCs w:val="24"/>
          <w:lang w:val="el-GR"/>
        </w:rPr>
      </w:pPr>
      <w:r>
        <w:rPr>
          <w:b/>
          <w:sz w:val="24"/>
          <w:szCs w:val="24"/>
          <w:lang w:val="el-GR"/>
        </w:rPr>
        <w:t>6.2.3.3.2</w:t>
      </w:r>
      <w:r>
        <w:rPr>
          <w:sz w:val="24"/>
          <w:szCs w:val="24"/>
          <w:lang w:val="el-GR"/>
        </w:rPr>
        <w:t xml:space="preserve"> Εφόσον τα αμέσως ανωτέρω αναφερόμενα δεν είναι τεχνικώς δυνατόν να εκτελεστούν  (από την πλευρά του προμηθευτή), τότε δύναται να προτείνει </w:t>
      </w:r>
      <w:r>
        <w:rPr>
          <w:b/>
          <w:sz w:val="24"/>
          <w:szCs w:val="24"/>
          <w:u w:val="single"/>
          <w:lang w:val="el-GR"/>
        </w:rPr>
        <w:t>εναλλακτικά:</w:t>
      </w:r>
    </w:p>
    <w:p>
      <w:pPr>
        <w:pStyle w:val="Normal"/>
        <w:rPr>
          <w:sz w:val="24"/>
          <w:szCs w:val="24"/>
          <w:lang w:val="el-GR"/>
        </w:rPr>
      </w:pPr>
      <w:r>
        <w:rPr>
          <w:sz w:val="24"/>
          <w:szCs w:val="24"/>
          <w:lang w:val="el-GR"/>
        </w:rPr>
        <w:t xml:space="preserve">i) Είτε την επιβολή έκπτωσης ίση με την συνολική συμβατική αξία των ελαττωματικών περιεχόμενων υλικών (πρωτογενείς συσκευασίες) και των χαρτοκιβωτίων (δευτερογενείς συσκευασίες), </w:t>
      </w:r>
    </w:p>
    <w:p>
      <w:pPr>
        <w:pStyle w:val="Normal"/>
        <w:rPr>
          <w:b/>
          <w:sz w:val="24"/>
          <w:szCs w:val="24"/>
          <w:lang w:val="el-GR"/>
        </w:rPr>
      </w:pPr>
      <w:r>
        <w:rPr>
          <w:sz w:val="24"/>
          <w:szCs w:val="24"/>
          <w:lang w:val="el-GR"/>
        </w:rPr>
        <w:t>ii) Είτε την απόρριψη της παρτίδας.</w:t>
      </w:r>
    </w:p>
    <w:p>
      <w:pPr>
        <w:pStyle w:val="Normal"/>
        <w:rPr>
          <w:b/>
          <w:spacing w:val="1"/>
          <w:sz w:val="24"/>
          <w:szCs w:val="24"/>
          <w:lang w:val="el-GR"/>
        </w:rPr>
      </w:pPr>
      <w:r>
        <w:rPr>
          <w:b/>
          <w:sz w:val="24"/>
          <w:szCs w:val="24"/>
          <w:lang w:val="el-GR"/>
        </w:rPr>
        <w:t>6.2.3.4</w:t>
      </w:r>
      <w:r>
        <w:rPr>
          <w:sz w:val="24"/>
          <w:szCs w:val="24"/>
          <w:lang w:val="el-GR"/>
        </w:rPr>
        <w:t xml:space="preserve"> Αν κατά το μακροσκοπικό</w:t>
      </w:r>
      <w:r>
        <w:rPr>
          <w:b/>
          <w:sz w:val="24"/>
          <w:szCs w:val="24"/>
          <w:lang w:val="el-GR"/>
        </w:rPr>
        <w:t xml:space="preserve"> </w:t>
      </w:r>
      <w:r>
        <w:rPr>
          <w:sz w:val="24"/>
          <w:szCs w:val="24"/>
          <w:lang w:val="el-GR"/>
        </w:rPr>
        <w:t>έλεγχο της § 6.2.1.2 βρεθεί αριθμός ελαττωματικών τεμαχίων μικρότερος ή ίσος από τον αναγραφόμενο στον πίνακα δειγματοληψίας § 6.2.1, τότε η ΕΠ μπορεί κατά την κρίση της, ανάλογα με το πλήθος και τη βαρύτητα των ευρημάτων, να προτείνει την επιβολή έκπτωσης ίσης ή μικρότερης της αντίστοιχης συμβατικής αξίας των ελαττωματικών τεμαχίων, εκφρασμένης ως ποσοστό %, που προκύπτει από το κλάσμα των ελαττωματικών τεμαχίων  προς το μέγεθος του δείγματος.</w:t>
      </w:r>
    </w:p>
    <w:p>
      <w:pPr>
        <w:pStyle w:val="Normal"/>
        <w:rPr/>
      </w:pPr>
      <w:r>
        <w:rPr>
          <w:b/>
          <w:spacing w:val="1"/>
          <w:sz w:val="24"/>
          <w:szCs w:val="24"/>
          <w:lang w:val="el-GR"/>
        </w:rPr>
        <w:t>6.2.3.5</w:t>
      </w:r>
      <w:r>
        <w:rPr>
          <w:spacing w:val="1"/>
          <w:sz w:val="24"/>
          <w:szCs w:val="24"/>
          <w:lang w:val="el-GR"/>
        </w:rPr>
        <w:t xml:space="preserve"> Αν</w:t>
      </w:r>
      <w:r>
        <w:rPr>
          <w:b/>
          <w:spacing w:val="1"/>
          <w:sz w:val="24"/>
          <w:szCs w:val="24"/>
          <w:lang w:val="el-GR"/>
        </w:rPr>
        <w:t xml:space="preserve"> </w:t>
      </w:r>
      <w:r>
        <w:rPr>
          <w:sz w:val="24"/>
          <w:szCs w:val="24"/>
          <w:lang w:val="el-GR"/>
        </w:rPr>
        <w:t>κατά τον μακροσκοπικό έλεγχο της § 6.2.1.2 βρεθεί αριθμός ελαττωματικών τεμαχίων μεγαλύτερος των αναφερομένων</w:t>
      </w:r>
      <w:r>
        <w:rPr>
          <w:spacing w:val="-5"/>
          <w:sz w:val="24"/>
          <w:szCs w:val="24"/>
          <w:lang w:val="el-GR"/>
        </w:rPr>
        <w:t xml:space="preserve"> στον πίνακα δειγματοληψίας § 6.2.1,</w:t>
      </w:r>
      <w:r>
        <w:rPr>
          <w:sz w:val="24"/>
          <w:szCs w:val="24"/>
          <w:lang w:val="el-GR"/>
        </w:rPr>
        <w:t xml:space="preserve"> τότε </w:t>
      </w:r>
      <w:r>
        <w:rPr>
          <w:spacing w:val="-5"/>
          <w:sz w:val="24"/>
          <w:szCs w:val="24"/>
          <w:lang w:val="el-GR"/>
        </w:rPr>
        <w:t xml:space="preserve">η </w:t>
      </w:r>
      <w:r>
        <w:rPr>
          <w:spacing w:val="-6"/>
          <w:sz w:val="24"/>
          <w:szCs w:val="24"/>
          <w:lang w:val="el-GR"/>
        </w:rPr>
        <w:t xml:space="preserve">ΕΠ μπορεί κατά την κρίση της, </w:t>
      </w:r>
      <w:r>
        <w:rPr>
          <w:sz w:val="24"/>
          <w:szCs w:val="24"/>
          <w:lang w:val="el-GR"/>
        </w:rPr>
        <w:t>ανάλογα με το πλήθος και τη βαρύτητα των ευρημάτων</w:t>
      </w:r>
      <w:r>
        <w:rPr>
          <w:spacing w:val="-6"/>
          <w:sz w:val="24"/>
          <w:szCs w:val="24"/>
          <w:lang w:val="el-GR"/>
        </w:rPr>
        <w:t xml:space="preserve">, να προτείνει την απόρριψη της παρτίδας ή την επιβολή </w:t>
      </w:r>
      <w:r>
        <w:rPr>
          <w:sz w:val="24"/>
          <w:szCs w:val="24"/>
          <w:lang w:val="el-GR"/>
        </w:rPr>
        <w:t>έκπτωσης μεγαλύτερης της συμβατικής αξίας των ελαττωματικών τεμαχίων, εκφρασμένης ως ποσοστό %, που προκύπτει από το κλάσμα των ελαττωματικών τεμαχίων  προς το μέγεθος του δείγματος.</w:t>
      </w:r>
    </w:p>
    <w:p>
      <w:pPr>
        <w:pStyle w:val="Normal"/>
        <w:rPr/>
      </w:pPr>
      <w:r>
        <w:rPr/>
      </w:r>
    </w:p>
    <w:p>
      <w:pPr>
        <w:pStyle w:val="Normal"/>
        <w:rPr>
          <w:b/>
          <w:spacing w:val="1"/>
          <w:sz w:val="24"/>
          <w:szCs w:val="24"/>
          <w:lang w:val="el-GR"/>
        </w:rPr>
      </w:pPr>
      <w:r>
        <w:rPr>
          <w:b/>
          <w:sz w:val="24"/>
          <w:szCs w:val="24"/>
          <w:lang w:val="el-GR"/>
        </w:rPr>
        <w:t>7</w:t>
      </w:r>
      <w:r>
        <w:rPr>
          <w:b/>
          <w:spacing w:val="1"/>
          <w:sz w:val="24"/>
          <w:szCs w:val="24"/>
          <w:lang w:val="el-GR"/>
        </w:rPr>
        <w:t xml:space="preserve"> ΥΠΗΡΕΣΙΕΣ - ΥΠΟΣΤΗΡΙΞΗ</w:t>
      </w:r>
    </w:p>
    <w:p>
      <w:pPr>
        <w:pStyle w:val="Normal"/>
        <w:rPr>
          <w:b/>
          <w:sz w:val="24"/>
          <w:szCs w:val="24"/>
          <w:lang w:val="el-GR"/>
        </w:rPr>
      </w:pPr>
      <w:r>
        <w:rPr>
          <w:b/>
          <w:spacing w:val="1"/>
          <w:sz w:val="24"/>
          <w:szCs w:val="24"/>
          <w:lang w:val="el-GR"/>
        </w:rPr>
        <w:t>7.1 Εγγυήσεις</w:t>
      </w:r>
    </w:p>
    <w:p>
      <w:pPr>
        <w:pStyle w:val="Normal"/>
        <w:rPr>
          <w:rFonts w:eastAsia="Times New Roman" w:cs="Arial"/>
          <w:b/>
          <w:sz w:val="24"/>
          <w:szCs w:val="24"/>
          <w:lang w:val="el-GR" w:eastAsia="zh-CN"/>
        </w:rPr>
      </w:pPr>
      <w:r>
        <w:rPr>
          <w:b/>
          <w:sz w:val="24"/>
          <w:szCs w:val="24"/>
          <w:lang w:val="el-GR"/>
        </w:rPr>
        <w:t>7.1.1</w:t>
      </w:r>
      <w:r>
        <w:rPr>
          <w:sz w:val="24"/>
          <w:szCs w:val="24"/>
          <w:lang w:val="el-GR"/>
        </w:rPr>
        <w:t xml:space="preserve"> Ο προμηθευτής θα παράσχει γραπτώς με Υπεύθυνη Δήλωση του Ν.1599/86 ή με Δήλωση Συμμόρφωσης (Declaration Of Conformity, DoC) σύμφωνα με το                        EN ISO 17050-1 εγγύηση διατήρησης των υλικών σε άριστη κατάσταση εντός της αρχικής τους συσκευασίας, τουλάχιστον για δύο (2) χρόνια από την ημερομηνία υπογραφής του πρωτοκόλλου παραλαβής και πριν τη διανομή αυτού στο δικαιούμενο προσωπικό.</w:t>
      </w:r>
    </w:p>
    <w:p>
      <w:pPr>
        <w:pStyle w:val="Normal"/>
        <w:suppressAutoHyphens w:val="true"/>
        <w:rPr>
          <w:rFonts w:eastAsia="Times New Roman" w:cs="Arial"/>
          <w:b/>
          <w:sz w:val="24"/>
          <w:szCs w:val="24"/>
          <w:lang w:val="el-GR" w:eastAsia="zh-CN"/>
        </w:rPr>
      </w:pPr>
      <w:r>
        <w:rPr>
          <w:rFonts w:eastAsia="Times New Roman" w:cs="Arial"/>
          <w:b/>
          <w:sz w:val="24"/>
          <w:szCs w:val="24"/>
          <w:lang w:val="el-GR" w:eastAsia="zh-CN"/>
        </w:rPr>
      </w:r>
    </w:p>
    <w:p>
      <w:pPr>
        <w:pStyle w:val="Normal"/>
        <w:rPr>
          <w:b/>
          <w:spacing w:val="-6"/>
          <w:sz w:val="24"/>
          <w:szCs w:val="24"/>
          <w:lang w:val="el-GR"/>
        </w:rPr>
      </w:pPr>
      <w:r>
        <w:rPr>
          <w:b/>
          <w:sz w:val="24"/>
          <w:szCs w:val="24"/>
          <w:lang w:val="el-GR"/>
        </w:rPr>
        <w:t>8</w:t>
      </w:r>
      <w:r>
        <w:rPr>
          <w:b/>
          <w:spacing w:val="1"/>
          <w:sz w:val="24"/>
          <w:szCs w:val="24"/>
          <w:lang w:val="el-GR"/>
        </w:rPr>
        <w:t xml:space="preserve"> ΛΟΙΠΕΣ ΑΠΑΙΤΗΣΕΙΣ</w:t>
      </w:r>
    </w:p>
    <w:p>
      <w:pPr>
        <w:pStyle w:val="Normal"/>
        <w:rPr>
          <w:sz w:val="24"/>
          <w:szCs w:val="24"/>
          <w:lang w:val="el-GR"/>
        </w:rPr>
      </w:pPr>
      <w:r>
        <w:rPr>
          <w:b/>
          <w:spacing w:val="-6"/>
          <w:sz w:val="24"/>
          <w:szCs w:val="24"/>
          <w:lang w:val="el-GR"/>
        </w:rPr>
        <w:t>8.1</w:t>
      </w:r>
      <w:r>
        <w:rPr>
          <w:spacing w:val="-6"/>
          <w:sz w:val="24"/>
          <w:szCs w:val="24"/>
          <w:lang w:val="el-GR"/>
        </w:rPr>
        <w:t xml:space="preserve"> </w:t>
      </w:r>
      <w:r>
        <w:rPr>
          <w:b/>
          <w:sz w:val="24"/>
          <w:szCs w:val="24"/>
          <w:lang w:val="el-GR"/>
        </w:rPr>
        <w:t>Χρόνος παράδοσης</w:t>
      </w:r>
    </w:p>
    <w:p>
      <w:pPr>
        <w:pStyle w:val="Normal"/>
        <w:rPr>
          <w:sz w:val="24"/>
          <w:szCs w:val="24"/>
          <w:lang w:val="el-GR"/>
        </w:rPr>
      </w:pPr>
      <w:r>
        <w:rPr>
          <w:sz w:val="24"/>
          <w:szCs w:val="24"/>
          <w:lang w:val="el-GR"/>
        </w:rPr>
        <w:t xml:space="preserve">Τέσσερις (4) μήνες από την ημερομηνία υπογραφής της σύμβασης για το σύνολο της ποσότητας, εκτός αν ορίζεται διαφορετικά στη διακήρυξη. </w:t>
      </w:r>
    </w:p>
    <w:p>
      <w:pPr>
        <w:pStyle w:val="Normal"/>
        <w:rPr>
          <w:sz w:val="24"/>
          <w:szCs w:val="24"/>
          <w:lang w:val="el-GR"/>
        </w:rPr>
      </w:pPr>
      <w:r>
        <w:rPr>
          <w:sz w:val="24"/>
          <w:szCs w:val="24"/>
          <w:lang w:val="el-GR"/>
        </w:rPr>
      </w:r>
    </w:p>
    <w:p>
      <w:pPr>
        <w:pStyle w:val="Normal"/>
        <w:rPr>
          <w:sz w:val="24"/>
          <w:szCs w:val="24"/>
          <w:lang w:val="el-GR"/>
        </w:rPr>
      </w:pPr>
      <w:r>
        <w:rPr>
          <w:b/>
          <w:sz w:val="24"/>
          <w:szCs w:val="24"/>
          <w:lang w:val="el-GR"/>
        </w:rPr>
        <w:t>8.2 Τόπος παράδοσης</w:t>
      </w:r>
    </w:p>
    <w:p>
      <w:pPr>
        <w:pStyle w:val="Normal"/>
        <w:rPr>
          <w:sz w:val="24"/>
          <w:szCs w:val="24"/>
          <w:lang w:val="el-GR"/>
        </w:rPr>
      </w:pPr>
      <w:r>
        <w:rPr>
          <w:sz w:val="24"/>
          <w:szCs w:val="24"/>
          <w:lang w:val="el-GR"/>
        </w:rPr>
        <w:t>Στο ΠΝ, η παράδοση θα εκτελείται στις αποθήκες ΚΕΦΝ/ΔΠΔΥ (Σκαραμαγκάς, τηλ.210-5530337), εφόσον δεν αναφέρεται διαφορετικά στους ειδικούς όρους της διακήρυξης.</w:t>
      </w:r>
    </w:p>
    <w:p>
      <w:pPr>
        <w:pStyle w:val="Normal"/>
        <w:rPr>
          <w:sz w:val="24"/>
          <w:szCs w:val="24"/>
          <w:lang w:val="el-GR"/>
        </w:rPr>
      </w:pPr>
      <w:r>
        <w:rPr>
          <w:sz w:val="24"/>
          <w:szCs w:val="24"/>
          <w:lang w:val="el-GR"/>
        </w:rPr>
      </w:r>
    </w:p>
    <w:p>
      <w:pPr>
        <w:pStyle w:val="Normal"/>
        <w:rPr>
          <w:sz w:val="24"/>
          <w:szCs w:val="24"/>
          <w:lang w:val="el-GR"/>
        </w:rPr>
      </w:pPr>
      <w:r>
        <w:rPr>
          <w:b/>
          <w:spacing w:val="-6"/>
          <w:sz w:val="24"/>
          <w:szCs w:val="24"/>
          <w:lang w:val="el-GR"/>
        </w:rPr>
        <w:t xml:space="preserve">8.3 </w:t>
      </w:r>
      <w:r>
        <w:rPr>
          <w:spacing w:val="-6"/>
          <w:sz w:val="24"/>
          <w:szCs w:val="24"/>
          <w:lang w:val="el-GR"/>
        </w:rPr>
        <w:t xml:space="preserve"> </w:t>
      </w:r>
      <w:r>
        <w:rPr>
          <w:b/>
          <w:spacing w:val="-6"/>
          <w:sz w:val="24"/>
          <w:szCs w:val="24"/>
          <w:lang w:val="el-GR"/>
        </w:rPr>
        <w:t>Αριθμός παρτίδων</w:t>
      </w:r>
    </w:p>
    <w:p>
      <w:pPr>
        <w:pStyle w:val="Normal"/>
        <w:rPr>
          <w:spacing w:val="-6"/>
          <w:sz w:val="24"/>
          <w:szCs w:val="24"/>
          <w:lang w:val="el-GR"/>
        </w:rPr>
      </w:pPr>
      <w:r>
        <w:rPr>
          <w:sz w:val="24"/>
          <w:szCs w:val="24"/>
          <w:lang w:val="el-GR"/>
        </w:rPr>
        <w:t xml:space="preserve">Ο προμηθευτής δύναται να παραδώσει όλη την συμβατική ποσότητα κατά το μέγιστο σε τρεις (3) παρτίδες. Οι δειγματοληπτικοί έλεγχοι θα πραγματοποιούνται σε κάθε παρτίδα. </w:t>
      </w:r>
    </w:p>
    <w:p>
      <w:pPr>
        <w:pStyle w:val="Normal"/>
        <w:rPr>
          <w:spacing w:val="-6"/>
          <w:sz w:val="24"/>
          <w:szCs w:val="24"/>
          <w:lang w:val="el-GR"/>
        </w:rPr>
      </w:pPr>
      <w:r>
        <w:rPr>
          <w:spacing w:val="-6"/>
          <w:sz w:val="24"/>
          <w:szCs w:val="24"/>
          <w:lang w:val="el-GR"/>
        </w:rPr>
      </w:r>
    </w:p>
    <w:p>
      <w:pPr>
        <w:pStyle w:val="Normal"/>
        <w:rPr>
          <w:b/>
          <w:sz w:val="24"/>
          <w:szCs w:val="24"/>
          <w:lang w:val="el-GR"/>
        </w:rPr>
      </w:pPr>
      <w:r>
        <w:rPr>
          <w:b/>
          <w:sz w:val="24"/>
          <w:szCs w:val="24"/>
          <w:lang w:val="el-GR"/>
        </w:rPr>
        <w:t>9 ΠΕΡΙΕΧΟΜΕΝΟ ΠΡΟΣΦΟΡΑΣ</w:t>
      </w:r>
    </w:p>
    <w:p>
      <w:pPr>
        <w:pStyle w:val="Normal"/>
        <w:rPr>
          <w:b/>
          <w:sz w:val="24"/>
          <w:szCs w:val="24"/>
          <w:lang w:val="el-GR"/>
        </w:rPr>
      </w:pPr>
      <w:r>
        <w:rPr>
          <w:b/>
          <w:sz w:val="24"/>
          <w:szCs w:val="24"/>
          <w:lang w:val="el-GR"/>
        </w:rPr>
        <w:t>9.1</w:t>
      </w:r>
      <w:r>
        <w:rPr>
          <w:sz w:val="24"/>
          <w:szCs w:val="24"/>
          <w:lang w:val="el-GR"/>
        </w:rPr>
        <w:t xml:space="preserve"> Για τα υλικά § 1, οι συμμετέχοντες προμηθευτές θα υποβάλλουν στο φάκελο τεχνικής προσφοράς τα ακόλουθα:</w:t>
      </w:r>
    </w:p>
    <w:p>
      <w:pPr>
        <w:pStyle w:val="Normal"/>
        <w:rPr>
          <w:b/>
          <w:sz w:val="24"/>
          <w:szCs w:val="24"/>
          <w:lang w:val="el-GR"/>
        </w:rPr>
      </w:pPr>
      <w:r>
        <w:rPr>
          <w:b/>
          <w:sz w:val="24"/>
          <w:szCs w:val="24"/>
          <w:lang w:val="el-GR"/>
        </w:rPr>
        <w:t xml:space="preserve">9.1.1 </w:t>
      </w:r>
      <w:r>
        <w:rPr>
          <w:sz w:val="24"/>
          <w:szCs w:val="24"/>
          <w:lang w:val="el-GR"/>
        </w:rPr>
        <w:t>Συμπληρωμένο αναλυτικό φυλλάδιο με τίτλο «Έντυπο Συμμόρφωσης προς την Προδιαγραφή Ενόπλων Δυνάμεων». Το έντυπο βρίσκεται αναρτημένο στην ιστοσελίδα «ΠΡΟΔΙΑΓΡΑΦΕΣ ΕΝΟΠΛΩΝ ΔΥΝΑΜΕΩΝ» (</w:t>
      </w:r>
      <w:hyperlink r:id="rId27">
        <w:r>
          <w:rPr>
            <w:rStyle w:val="Hyperlink"/>
            <w:rFonts w:eastAsia="HiddenHorzOCR"/>
            <w:sz w:val="24"/>
            <w:szCs w:val="24"/>
            <w:lang w:val="el-GR"/>
          </w:rPr>
          <w:t>https://prodiagrafes.army.gr</w:t>
        </w:r>
      </w:hyperlink>
      <w:r>
        <w:rPr>
          <w:sz w:val="24"/>
          <w:szCs w:val="24"/>
          <w:lang w:val="el-GR"/>
        </w:rPr>
        <w:t>), επιλέγοντας αρχικά «ΝΟΜΟΘΕΣΙΑ-ΕΝΤΥΠΑ-ΥΠΟΔΕΙΓΜΑΤΑ» και στη συνέχεια «ΕΝΤΥΠΑ».</w:t>
      </w:r>
    </w:p>
    <w:p>
      <w:pPr>
        <w:pStyle w:val="Normal"/>
        <w:rPr>
          <w:b/>
          <w:sz w:val="24"/>
          <w:szCs w:val="24"/>
          <w:lang w:val="el-GR"/>
        </w:rPr>
      </w:pPr>
      <w:r>
        <w:rPr>
          <w:b/>
          <w:sz w:val="24"/>
          <w:szCs w:val="24"/>
          <w:lang w:val="el-GR"/>
        </w:rPr>
        <w:t xml:space="preserve">9.1.2 </w:t>
      </w:r>
      <w:r>
        <w:rPr>
          <w:sz w:val="24"/>
          <w:szCs w:val="24"/>
          <w:lang w:val="el-GR"/>
        </w:rPr>
        <w:t>Υπεύθυνη Δήλωση του Ν.1599/86 ή Δήλωση Συμμόρφωσης (Declaration Of Conformity, DoC σύμφωνα με το EN ISO/IEC 17050-1) στην οποία θα δηλώνουν ότι τα υπό προμήθεια είδη συμμορφώνονται και πληρούν τις διατάξεις σχετικά με ουσίες που θεωρούνται επιβλαβείς για την υγεία του χρήστη όπως περιλαμβάνονται στο Παράρτημα XVII του Κανονισμού της § 2.1.1 (REACH).</w:t>
      </w:r>
    </w:p>
    <w:p>
      <w:pPr>
        <w:pStyle w:val="Normal"/>
        <w:rPr>
          <w:b/>
          <w:sz w:val="24"/>
          <w:szCs w:val="24"/>
          <w:lang w:val="el-GR"/>
        </w:rPr>
      </w:pPr>
      <w:r>
        <w:rPr>
          <w:b/>
          <w:sz w:val="24"/>
          <w:szCs w:val="24"/>
          <w:lang w:val="el-GR"/>
        </w:rPr>
        <w:t>9.1.3</w:t>
      </w:r>
      <w:r>
        <w:rPr>
          <w:sz w:val="24"/>
          <w:szCs w:val="24"/>
          <w:lang w:val="el-GR"/>
        </w:rPr>
        <w:t xml:space="preserve"> Εφόσον προβλέπεται στους Ειδικούς Όρους της διακήρυξης: Αντίγραφο ισχύοντος </w:t>
      </w:r>
      <w:r>
        <w:rPr>
          <w:b/>
          <w:sz w:val="24"/>
          <w:szCs w:val="24"/>
          <w:lang w:val="el-GR"/>
        </w:rPr>
        <w:t>Πιστοποιητικού</w:t>
      </w:r>
      <w:r>
        <w:rPr>
          <w:sz w:val="24"/>
          <w:szCs w:val="24"/>
          <w:lang w:val="el-GR"/>
        </w:rPr>
        <w:t xml:space="preserve"> Συμμόρφωσης Συστήματος Διαχείρισης της Ποιότητας κατά ISO 9001, για το δηλωθέν στην § 9.1.6 εργοστάσιο / βιοτεχνία κατασκευής κλωστοϋφαντουργικών ειδών, στο οποίο θα αναγράφεται η πιστοποίηση σχετικά με την παραγωγή / κατασκευή ειδών ιματισμού (</w:t>
      </w:r>
      <w:r>
        <w:rPr>
          <w:sz w:val="24"/>
          <w:szCs w:val="24"/>
          <w:lang w:val="en-US"/>
        </w:rPr>
        <w:t xml:space="preserve">textile </w:t>
      </w:r>
      <w:r>
        <w:rPr>
          <w:sz w:val="24"/>
          <w:szCs w:val="24"/>
          <w:lang w:val="el-GR"/>
        </w:rPr>
        <w:t xml:space="preserve">clothing or </w:t>
      </w:r>
      <w:r>
        <w:rPr>
          <w:sz w:val="24"/>
          <w:szCs w:val="24"/>
          <w:lang w:val="en-US"/>
        </w:rPr>
        <w:t xml:space="preserve">textile material </w:t>
      </w:r>
      <w:r>
        <w:rPr>
          <w:sz w:val="24"/>
          <w:szCs w:val="24"/>
          <w:lang w:val="el-GR"/>
        </w:rPr>
        <w:t>production/</w:t>
      </w:r>
      <w:r>
        <w:rPr>
          <w:sz w:val="24"/>
          <w:szCs w:val="24"/>
          <w:lang w:val="en-US"/>
        </w:rPr>
        <w:t>manufacture</w:t>
      </w:r>
      <w:r>
        <w:rPr>
          <w:sz w:val="24"/>
          <w:szCs w:val="24"/>
          <w:lang w:val="el-GR"/>
        </w:rPr>
        <w:t xml:space="preserve">). Το πιστοποιητικό θα </w:t>
      </w:r>
      <w:r>
        <w:rPr>
          <w:bCs/>
          <w:sz w:val="24"/>
          <w:szCs w:val="24"/>
          <w:lang w:val="el-GR"/>
        </w:rPr>
        <w:t xml:space="preserve">έχει εκδοθεί από φορέα διαπιστευμένο </w:t>
      </w:r>
      <w:r>
        <w:rPr>
          <w:sz w:val="24"/>
          <w:szCs w:val="24"/>
          <w:lang w:val="el-GR"/>
        </w:rPr>
        <w:t>από το ΕΣΥΔ ή άλλο φορέα διαπίστευσης, που μετέχει σε Συμφωνία Αμοιβαίας Ισότιμης Αναγνώρισης με το ΕΣΥΔ σχετικά με την Πιστοποίηση Συστημάτων Διαχείρισης της Ποιότητας</w:t>
      </w:r>
      <w:r>
        <w:rPr>
          <w:bCs/>
          <w:sz w:val="24"/>
          <w:szCs w:val="24"/>
          <w:lang w:val="el-GR"/>
        </w:rPr>
        <w:t>.</w:t>
      </w:r>
    </w:p>
    <w:p>
      <w:pPr>
        <w:pStyle w:val="Normal"/>
        <w:rPr>
          <w:b/>
          <w:sz w:val="24"/>
          <w:szCs w:val="24"/>
          <w:lang w:val="en-US"/>
        </w:rPr>
      </w:pPr>
      <w:r>
        <w:rPr>
          <w:b/>
          <w:sz w:val="24"/>
          <w:szCs w:val="24"/>
          <w:lang w:val="el-GR"/>
        </w:rPr>
        <w:t>9.1.4</w:t>
      </w:r>
      <w:r>
        <w:rPr>
          <w:sz w:val="24"/>
          <w:szCs w:val="24"/>
          <w:lang w:val="el-GR"/>
        </w:rPr>
        <w:t xml:space="preserve"> Υπεύθυνη Δήλωση του Ν.1599/86 ή Δήλωση Συμμόρφωσης (Declaration Of Conformity, DoC σύμφωνα με το EN ISO/IEC 17050-1) του κατασκευαστή της δευτερογενούς συσκευασίας ή του προμηθευτή, στην όποια θα αναφέρεται ότι τα χαρτοκιβώτια δευτερογενούς συσκευασίας, θα πληρούν τα τεχνικά χαρακτηριστικά της        § 5.1.2.2.</w:t>
      </w:r>
    </w:p>
    <w:p>
      <w:pPr>
        <w:pStyle w:val="Normal"/>
        <w:rPr>
          <w:b/>
          <w:sz w:val="24"/>
          <w:szCs w:val="24"/>
          <w:lang w:val="en-US"/>
        </w:rPr>
      </w:pPr>
      <w:r>
        <w:rPr>
          <w:b/>
          <w:sz w:val="24"/>
          <w:szCs w:val="24"/>
          <w:lang w:val="en-US"/>
        </w:rPr>
        <w:t>9.1.5</w:t>
      </w:r>
      <w:r>
        <w:rPr>
          <w:sz w:val="24"/>
          <w:szCs w:val="24"/>
          <w:lang w:val="el-GR"/>
        </w:rPr>
        <w:t xml:space="preserve"> Την εγγύηση § 7.1</w:t>
      </w:r>
    </w:p>
    <w:p>
      <w:pPr>
        <w:pStyle w:val="Normal"/>
        <w:rPr>
          <w:rFonts w:eastAsia="Times New Roman" w:cs="Arial"/>
          <w:b/>
          <w:sz w:val="24"/>
          <w:szCs w:val="24"/>
          <w:lang w:val="el-GR" w:eastAsia="zh-CN"/>
        </w:rPr>
      </w:pPr>
      <w:r>
        <w:rPr>
          <w:b/>
          <w:sz w:val="24"/>
          <w:szCs w:val="24"/>
          <w:lang w:val="en-US"/>
        </w:rPr>
        <w:t>9.1.6</w:t>
      </w:r>
      <w:r>
        <w:rPr>
          <w:sz w:val="24"/>
          <w:szCs w:val="24"/>
          <w:lang w:val="el-GR"/>
        </w:rPr>
        <w:t xml:space="preserve"> Υπεύθυνη Δήλωση του προμηθευτή, στην οποία θα δηλώνεται το εργοστάσιο / βιοτεχνία κατασκευής (επωνυμία - διεύθυνση), του τελικού προϊόντος.  </w:t>
      </w:r>
    </w:p>
    <w:p>
      <w:pPr>
        <w:pStyle w:val="Normal"/>
        <w:suppressAutoHyphens w:val="true"/>
        <w:rPr>
          <w:rFonts w:eastAsia="Times New Roman" w:cs="Arial"/>
          <w:b/>
          <w:sz w:val="24"/>
          <w:szCs w:val="24"/>
          <w:lang w:val="el-GR" w:eastAsia="zh-CN"/>
        </w:rPr>
      </w:pPr>
      <w:r>
        <w:rPr>
          <w:rFonts w:eastAsia="Times New Roman" w:cs="Arial"/>
          <w:b/>
          <w:sz w:val="24"/>
          <w:szCs w:val="24"/>
          <w:lang w:val="el-GR" w:eastAsia="zh-CN"/>
        </w:rPr>
      </w:r>
    </w:p>
    <w:p>
      <w:pPr>
        <w:pStyle w:val="Normal"/>
        <w:rPr>
          <w:b/>
          <w:sz w:val="24"/>
          <w:szCs w:val="24"/>
          <w:lang w:val="el-GR"/>
        </w:rPr>
      </w:pPr>
      <w:r>
        <w:rPr>
          <w:b/>
          <w:sz w:val="24"/>
          <w:szCs w:val="24"/>
          <w:lang w:val="el-GR"/>
        </w:rPr>
        <w:t>10 ΣΗΜΕΙΩΣΕΙΣ</w:t>
      </w:r>
    </w:p>
    <w:p>
      <w:pPr>
        <w:pStyle w:val="Normal"/>
        <w:rPr>
          <w:b/>
          <w:sz w:val="24"/>
          <w:szCs w:val="24"/>
          <w:lang w:val="el-GR"/>
        </w:rPr>
      </w:pPr>
      <w:r>
        <w:rPr>
          <w:b/>
          <w:sz w:val="24"/>
          <w:szCs w:val="24"/>
          <w:lang w:val="el-GR"/>
        </w:rPr>
        <w:t>10.1 Λέξεις κλειδιά:</w:t>
      </w:r>
      <w:r>
        <w:rPr>
          <w:rFonts w:cs="Arial"/>
          <w:b/>
          <w:sz w:val="24"/>
          <w:szCs w:val="24"/>
          <w:lang w:val="el-GR"/>
        </w:rPr>
        <w:t xml:space="preserve"> </w:t>
      </w:r>
      <w:r>
        <w:rPr>
          <w:rFonts w:cs="Arial"/>
          <w:sz w:val="24"/>
          <w:szCs w:val="24"/>
          <w:lang w:val="el-GR"/>
        </w:rPr>
        <w:t>Περαστά διακριτικά, Διακριτικά μπλε μπουφάν στολής ασκήσεων - εκστρατείας, Διακριτικά μπλε στολής υπ' αριθμόν 9 ασκήσεων - εκστρατείας, Εξωτερικός ιματισμός υπαξιωματικών ανδρών και γυναικών.</w:t>
      </w:r>
    </w:p>
    <w:p>
      <w:pPr>
        <w:pStyle w:val="Normal"/>
        <w:rPr>
          <w:b/>
          <w:sz w:val="24"/>
          <w:szCs w:val="24"/>
          <w:lang w:val="el-GR"/>
        </w:rPr>
      </w:pPr>
      <w:r>
        <w:rPr>
          <w:b/>
          <w:sz w:val="24"/>
          <w:szCs w:val="24"/>
          <w:lang w:val="el-GR"/>
        </w:rPr>
        <w:t>10.2</w:t>
      </w:r>
      <w:r>
        <w:rPr>
          <w:sz w:val="24"/>
          <w:szCs w:val="24"/>
          <w:lang w:val="el-GR"/>
        </w:rPr>
        <w:t xml:space="preserve"> Σε περίπτωση αντίφασης της παρούσης ΠΕΔ με ισχύουσα Ευρωπαϊκή ή Ελληνική Νομοθεσία, κατισχύει η τελευταία.</w:t>
      </w:r>
    </w:p>
    <w:p>
      <w:pPr>
        <w:pStyle w:val="Normal"/>
        <w:rPr>
          <w:b/>
          <w:sz w:val="24"/>
          <w:szCs w:val="24"/>
          <w:lang w:val="el-GR"/>
        </w:rPr>
      </w:pPr>
      <w:r>
        <w:rPr>
          <w:b/>
          <w:sz w:val="24"/>
          <w:szCs w:val="24"/>
          <w:lang w:val="el-GR"/>
        </w:rPr>
        <w:t xml:space="preserve">10.3 </w:t>
      </w:r>
      <w:r>
        <w:rPr>
          <w:sz w:val="24"/>
          <w:szCs w:val="24"/>
          <w:lang w:val="el-GR"/>
        </w:rPr>
        <w:t>Οτιδήποτε δεν αναφέρεται αναλυτικά στην παρούσα ΠΕΔ νοείται ότι θα γίνει σύμφωνα με τους κανόνες της τέχνης και τις σύγχρονες εξελίξεις της τεχνολογίας.</w:t>
      </w:r>
    </w:p>
    <w:p>
      <w:pPr>
        <w:pStyle w:val="Normal"/>
        <w:rPr>
          <w:rFonts w:ascii="Arial" w:hAnsi="Arial" w:cs="Arial"/>
          <w:lang w:val="el-GR"/>
        </w:rPr>
      </w:pPr>
      <w:r>
        <w:rPr>
          <w:rFonts w:cs="Arial"/>
          <w:lang w:val="el-GR"/>
        </w:rPr>
      </w:r>
    </w:p>
    <w:p>
      <w:pPr>
        <w:pStyle w:val="Normal"/>
        <w:rPr>
          <w:rFonts w:ascii="Arial" w:hAnsi="Arial" w:cs="Arial"/>
          <w:lang w:val="el-GR"/>
        </w:rPr>
      </w:pPr>
      <w:r>
        <w:rPr>
          <w:b/>
          <w:sz w:val="24"/>
          <w:szCs w:val="24"/>
          <w:lang w:val="el-GR"/>
        </w:rPr>
        <w:t>11 ΠΡΟΤΑΣΕΙΣ ΒΕΛΤΙΩΣΗΣ ΤΕΧΝΙΚΗΣ ΠΡΟΔΙΑΓΡΑΦΗΣ</w:t>
      </w:r>
    </w:p>
    <w:p>
      <w:pPr>
        <w:pStyle w:val="Standard"/>
        <w:jc w:val="both"/>
        <w:rPr>
          <w:rFonts w:cs="Arial"/>
          <w:b/>
          <w:sz w:val="24"/>
          <w:szCs w:val="24"/>
          <w:lang w:val="el-GR"/>
        </w:rPr>
      </w:pPr>
      <w:r>
        <w:rPr>
          <w:rFonts w:cs="Arial" w:ascii="Arial" w:hAnsi="Arial"/>
          <w:lang w:val="el-GR"/>
        </w:rPr>
        <w:t>Σχολιασμός της παρούσας Προδιαγραφής από κάθε ενδιαφερόμενο, για την βελτίωση της, μπορεί να γίνει μέσω</w:t>
      </w:r>
      <w:r>
        <w:rPr>
          <w:rFonts w:eastAsia="HiddenHorzOCR" w:cs="Arial" w:ascii="Arial" w:hAnsi="Arial"/>
          <w:lang w:val="el-GR"/>
        </w:rPr>
        <w:t xml:space="preserve"> της ηλεκτρονικής εφαρμογής διαχείρισης ΠΕΔ, στη διαδικτυακή τοποθεσία </w:t>
      </w:r>
      <w:hyperlink r:id="rId28">
        <w:r>
          <w:rPr>
            <w:rStyle w:val="Hyperlink"/>
            <w:rFonts w:eastAsia="HiddenHorzOCR" w:cs="Arial" w:ascii="Arial" w:hAnsi="Arial"/>
            <w:lang w:val="el-GR"/>
          </w:rPr>
          <w:t>https://prodiagrafes.army.gr</w:t>
        </w:r>
      </w:hyperlink>
      <w:r>
        <w:rPr>
          <w:rFonts w:eastAsia="HiddenHorzOCR" w:cs="Arial" w:ascii="Arial" w:hAnsi="Arial"/>
          <w:lang w:val="el-GR"/>
        </w:rPr>
        <w:t>.</w:t>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r>
    </w:p>
    <w:p>
      <w:pPr>
        <w:pStyle w:val="Normal"/>
        <w:numPr>
          <w:ilvl w:val="0"/>
          <w:numId w:val="0"/>
        </w:numPr>
        <w:ind w:hanging="0" w:start="0" w:end="0"/>
        <w:jc w:val="center"/>
        <w:outlineLvl w:val="0"/>
        <w:rPr>
          <w:rFonts w:cs="Arial"/>
          <w:b/>
          <w:sz w:val="24"/>
          <w:szCs w:val="24"/>
          <w:lang w:val="el-GR"/>
        </w:rPr>
      </w:pPr>
      <w:r>
        <w:rPr>
          <w:rFonts w:cs="Arial"/>
          <w:b/>
          <w:sz w:val="24"/>
          <w:szCs w:val="24"/>
          <w:lang w:val="el-GR"/>
        </w:rPr>
        <w:t>ΠΡΟΣΘΗΚΗ ΙΙ</w:t>
      </w:r>
    </w:p>
    <w:p>
      <w:pPr>
        <w:pStyle w:val="Normal"/>
        <w:numPr>
          <w:ilvl w:val="0"/>
          <w:numId w:val="0"/>
        </w:numPr>
        <w:ind w:hanging="0" w:start="0" w:end="0"/>
        <w:jc w:val="both"/>
        <w:outlineLvl w:val="0"/>
        <w:rPr>
          <w:rFonts w:cs="Arial"/>
          <w:b/>
          <w:sz w:val="24"/>
          <w:szCs w:val="24"/>
          <w:lang w:val="el-GR"/>
        </w:rPr>
      </w:pPr>
      <w:r>
        <w:rPr>
          <w:rFonts w:cs="Arial"/>
          <w:b/>
          <w:sz w:val="24"/>
          <w:szCs w:val="24"/>
          <w:lang w:val="el-GR"/>
        </w:rPr>
      </w:r>
    </w:p>
    <w:tbl>
      <w:tblPr>
        <w:tblW w:w="8495" w:type="dxa"/>
        <w:jc w:val="center"/>
        <w:tblInd w:w="0" w:type="dxa"/>
        <w:tblLayout w:type="fixed"/>
        <w:tblCellMar>
          <w:top w:w="0" w:type="dxa"/>
          <w:start w:w="108" w:type="dxa"/>
          <w:bottom w:w="0" w:type="dxa"/>
          <w:end w:w="108" w:type="dxa"/>
        </w:tblCellMar>
      </w:tblPr>
      <w:tblGrid>
        <w:gridCol w:w="2658"/>
        <w:gridCol w:w="5836"/>
      </w:tblGrid>
      <w:tr>
        <w:trPr/>
        <w:tc>
          <w:tcPr>
            <w:tcW w:w="8494" w:type="dxa"/>
            <w:gridSpan w:val="2"/>
            <w:tcBorders>
              <w:top w:val="double" w:sz="4" w:space="0" w:color="000000"/>
              <w:start w:val="double" w:sz="4" w:space="0" w:color="000000"/>
              <w:bottom w:val="single" w:sz="4" w:space="0" w:color="000000"/>
              <w:end w:val="double" w:sz="4" w:space="0" w:color="000000"/>
            </w:tcBorders>
          </w:tcPr>
          <w:p>
            <w:pPr>
              <w:pStyle w:val="Normal"/>
              <w:jc w:val="center"/>
              <w:rPr>
                <w:sz w:val="22"/>
                <w:szCs w:val="22"/>
              </w:rPr>
            </w:pPr>
            <w:r>
              <w:rPr>
                <w:rFonts w:cs="Arial"/>
                <w:b/>
                <w:sz w:val="22"/>
                <w:szCs w:val="22"/>
                <w:lang w:val="el-GR"/>
              </w:rPr>
              <w:t>ΠΙΝΑΚΑΣ Ι</w:t>
            </w:r>
          </w:p>
          <w:p>
            <w:pPr>
              <w:pStyle w:val="Normal"/>
              <w:jc w:val="center"/>
              <w:rPr>
                <w:sz w:val="22"/>
                <w:szCs w:val="22"/>
              </w:rPr>
            </w:pPr>
            <w:r>
              <w:rPr>
                <w:rFonts w:cs="Arial"/>
                <w:b/>
                <w:sz w:val="22"/>
                <w:szCs w:val="22"/>
                <w:lang w:val="el-GR"/>
              </w:rPr>
              <w:t>ΤΑΞΙΝΟΜΗΣΗ  ΔΙΑΚΡΙΤΙΚΩΝ ΒΑΘΜΩΝ &amp; ΕΙΔΙΚΟΤΗΤΩΝ</w:t>
            </w:r>
          </w:p>
          <w:p>
            <w:pPr>
              <w:pStyle w:val="Normal"/>
              <w:jc w:val="center"/>
              <w:rPr>
                <w:sz w:val="22"/>
                <w:szCs w:val="22"/>
              </w:rPr>
            </w:pPr>
            <w:r>
              <w:rPr>
                <w:rFonts w:cs="Arial"/>
                <w:b/>
                <w:sz w:val="22"/>
                <w:szCs w:val="22"/>
                <w:lang w:val="el-GR"/>
              </w:rPr>
              <w:t>ΥΠΑΞΙΩΜΑΤΙΚΩΝ ΑΠΟΦΟΙΤΩΝ ΣΜΥΝ</w:t>
            </w:r>
          </w:p>
        </w:tc>
      </w:tr>
      <w:tr>
        <w:trPr>
          <w:trHeight w:val="395" w:hRule="atLeast"/>
        </w:trPr>
        <w:tc>
          <w:tcPr>
            <w:tcW w:w="2658"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b/>
                <w:sz w:val="22"/>
                <w:szCs w:val="22"/>
                <w:lang w:val="el-GR"/>
              </w:rPr>
              <w:t>ΝΑΥΤΙΚΟΣ ΑΡΙΘΜΟΣ ΤΑΞΙΝΟΜΗΣΗΣ (ΝΑΤ)</w:t>
            </w:r>
          </w:p>
        </w:tc>
        <w:tc>
          <w:tcPr>
            <w:tcW w:w="5836" w:type="dxa"/>
            <w:tcBorders>
              <w:top w:val="single" w:sz="4" w:space="0" w:color="000000"/>
              <w:start w:val="single" w:sz="4" w:space="0" w:color="000000"/>
              <w:bottom w:val="single" w:sz="4" w:space="0" w:color="000000"/>
              <w:end w:val="double" w:sz="4" w:space="0" w:color="000000"/>
            </w:tcBorders>
          </w:tcPr>
          <w:p>
            <w:pPr>
              <w:pStyle w:val="Normal"/>
              <w:jc w:val="center"/>
              <w:rPr>
                <w:sz w:val="22"/>
                <w:szCs w:val="22"/>
              </w:rPr>
            </w:pPr>
            <w:r>
              <w:rPr>
                <w:rFonts w:cs="Arial"/>
                <w:b/>
                <w:sz w:val="22"/>
                <w:szCs w:val="22"/>
                <w:lang w:val="el-GR"/>
              </w:rPr>
              <w:t>ΠΕΡΙΓΡΑΦΗ</w:t>
            </w:r>
          </w:p>
        </w:tc>
      </w:tr>
      <w:tr>
        <w:trPr/>
        <w:tc>
          <w:tcPr>
            <w:tcW w:w="2658"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8455-ΝΤ-ΒΒ1-3609</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ΑΡΜΕΝΙΣΤΗΣ (ΑΡΜ)</w:t>
            </w:r>
          </w:p>
        </w:tc>
      </w:tr>
      <w:tr>
        <w:trPr/>
        <w:tc>
          <w:tcPr>
            <w:tcW w:w="2658"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8455-ΝΤ-ΒΒ1-3610</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ΔΙΑΧΕΙΡΙΣΤΗΣ (ΔΙΑΧ)</w:t>
            </w:r>
          </w:p>
        </w:tc>
      </w:tr>
      <w:tr>
        <w:trPr/>
        <w:tc>
          <w:tcPr>
            <w:tcW w:w="2658"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8455-ΝΤ-ΒΒ1-3611</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ΔΙΟΙΚΗΤΙΚΗΣ ΥΠΟΣΤΗΡΙΞΗΣ (Δ/ΥΠ)</w:t>
            </w:r>
          </w:p>
        </w:tc>
      </w:tr>
      <w:tr>
        <w:trPr/>
        <w:tc>
          <w:tcPr>
            <w:tcW w:w="2658"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8455-ΝΤ-ΒΒ1-3612</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ΕΠΙΧΕΙΡΗΣΕΩΝ /  ΕΠΙΚΟΙΝΩΝΙΩΝ (Ε/Ε)</w:t>
            </w:r>
          </w:p>
        </w:tc>
      </w:tr>
      <w:tr>
        <w:trPr/>
        <w:tc>
          <w:tcPr>
            <w:tcW w:w="2658" w:type="dxa"/>
            <w:tcBorders>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8455-ΝΤ-ΒΒ1-3613</w:t>
            </w:r>
          </w:p>
        </w:tc>
        <w:tc>
          <w:tcPr>
            <w:tcW w:w="5836" w:type="dxa"/>
            <w:tcBorders>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ΕΣΧΑΡΕΑΣ (ΕΣΧ)</w:t>
            </w:r>
          </w:p>
        </w:tc>
      </w:tr>
      <w:tr>
        <w:trPr/>
        <w:tc>
          <w:tcPr>
            <w:tcW w:w="2658"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8455-ΝΤ-ΒΒ1-3614</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ΗΛΕΚΤΡΟΛΟΓΟΣ (Η/Λ)</w:t>
            </w:r>
          </w:p>
        </w:tc>
      </w:tr>
      <w:tr>
        <w:trPr/>
        <w:tc>
          <w:tcPr>
            <w:tcW w:w="2658"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8455-ΝΤ-ΒΒ1-3615</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ΗΛΕΚΤΡΟΝΙΚΩΝ ΥΠΟΛΟΓΙΣΤΩΝ ΚΑΙ ΔΙΚΤΥΩΝ (ΗΥ/Δ)</w:t>
            </w:r>
          </w:p>
        </w:tc>
      </w:tr>
      <w:tr>
        <w:trPr/>
        <w:tc>
          <w:tcPr>
            <w:tcW w:w="2658"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8455-ΝΤ-ΒΒ1-3616</w:t>
            </w:r>
          </w:p>
        </w:tc>
        <w:tc>
          <w:tcPr>
            <w:tcW w:w="5836" w:type="dxa"/>
            <w:tcBorders>
              <w:top w:val="single" w:sz="4" w:space="0" w:color="000000"/>
              <w:start w:val="single" w:sz="4" w:space="0" w:color="000000"/>
              <w:bottom w:val="single" w:sz="4" w:space="0" w:color="000000"/>
              <w:end w:val="double" w:sz="4" w:space="0" w:color="000000"/>
            </w:tcBorders>
          </w:tcPr>
          <w:p>
            <w:pPr>
              <w:pStyle w:val="Normal"/>
              <w:snapToGrid w:val="false"/>
              <w:rPr>
                <w:sz w:val="22"/>
                <w:szCs w:val="22"/>
              </w:rPr>
            </w:pPr>
            <w:r>
              <w:rPr>
                <w:rFonts w:cs="Arial"/>
                <w:sz w:val="22"/>
                <w:szCs w:val="22"/>
                <w:lang w:val="el-GR" w:eastAsia="el-GR"/>
              </w:rPr>
              <w:t>ΜΟΥΣΙΚΟΣ (ΜΟΥΣ)</w:t>
            </w:r>
          </w:p>
        </w:tc>
      </w:tr>
      <w:tr>
        <w:trPr/>
        <w:tc>
          <w:tcPr>
            <w:tcW w:w="2658"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8455-ΝΤ-ΒΒ1-3617</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ΣΧΕΔΙΑΣΤΗΣ (ΣΧΕΔ)</w:t>
            </w:r>
          </w:p>
        </w:tc>
      </w:tr>
      <w:tr>
        <w:trPr/>
        <w:tc>
          <w:tcPr>
            <w:tcW w:w="2658"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8455-ΝΤ-ΒΒ1-3618</w:t>
            </w:r>
          </w:p>
        </w:tc>
        <w:tc>
          <w:tcPr>
            <w:tcW w:w="5836" w:type="dxa"/>
            <w:tcBorders>
              <w:top w:val="single" w:sz="4" w:space="0" w:color="000000"/>
              <w:start w:val="single" w:sz="4" w:space="0" w:color="000000"/>
              <w:bottom w:val="single" w:sz="4" w:space="0" w:color="000000"/>
              <w:end w:val="double" w:sz="4" w:space="0" w:color="000000"/>
            </w:tcBorders>
          </w:tcPr>
          <w:p>
            <w:pPr>
              <w:pStyle w:val="Normal"/>
              <w:snapToGrid w:val="false"/>
              <w:rPr>
                <w:sz w:val="22"/>
                <w:szCs w:val="22"/>
              </w:rPr>
            </w:pPr>
            <w:r>
              <w:rPr>
                <w:rFonts w:cs="Arial"/>
                <w:sz w:val="22"/>
                <w:szCs w:val="22"/>
                <w:lang w:val="el-GR" w:eastAsia="el-GR"/>
              </w:rPr>
              <w:t>ΤΕΧΝΙΚΟΣ ΗΛΕΚΤΡΟΝΙΚΩΝ ΣΥΣΤΗΜΑΤΩΝ (Τ/ΗΝ)</w:t>
            </w:r>
          </w:p>
        </w:tc>
      </w:tr>
      <w:tr>
        <w:trPr/>
        <w:tc>
          <w:tcPr>
            <w:tcW w:w="2658"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8455-ΝΤ-ΒΒ1-3619</w:t>
            </w:r>
          </w:p>
        </w:tc>
        <w:tc>
          <w:tcPr>
            <w:tcW w:w="5836" w:type="dxa"/>
            <w:tcBorders>
              <w:top w:val="single" w:sz="4" w:space="0" w:color="000000"/>
              <w:start w:val="single" w:sz="4" w:space="0" w:color="000000"/>
              <w:bottom w:val="single" w:sz="4" w:space="0" w:color="000000"/>
              <w:end w:val="double" w:sz="4" w:space="0" w:color="000000"/>
            </w:tcBorders>
          </w:tcPr>
          <w:p>
            <w:pPr>
              <w:pStyle w:val="Normal"/>
              <w:snapToGrid w:val="false"/>
              <w:rPr>
                <w:sz w:val="22"/>
                <w:szCs w:val="22"/>
              </w:rPr>
            </w:pPr>
            <w:r>
              <w:rPr>
                <w:rFonts w:cs="Arial"/>
                <w:sz w:val="22"/>
                <w:szCs w:val="22"/>
                <w:lang w:val="el-GR" w:eastAsia="el-GR"/>
              </w:rPr>
              <w:t>ΤΕΧΝΙΚΟΣ ΜΗΧΑΝΟΛΟΓΙΚΩΝ ΣΥΣΤΗΜΑΤΩΝ (Τ/ΜΗΧ)</w:t>
            </w:r>
          </w:p>
        </w:tc>
      </w:tr>
      <w:tr>
        <w:trPr>
          <w:trHeight w:val="220" w:hRule="atLeast"/>
        </w:trPr>
        <w:tc>
          <w:tcPr>
            <w:tcW w:w="2658"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8455-ΝΤ-ΒΒ1-3620</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ΤΕΧΝΙΚΟΣ ΣΥΝΕΡΓΕΙΩΝ (Τ/ΣΥΝ)</w:t>
            </w:r>
          </w:p>
        </w:tc>
      </w:tr>
      <w:tr>
        <w:trPr/>
        <w:tc>
          <w:tcPr>
            <w:tcW w:w="2658"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8455-ΝΤ-ΒΒ1-3621</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ΤΕΧΝΙΤΗΣ ΟΠΛΩΝ (Τ/ΟΠΛ)</w:t>
            </w:r>
          </w:p>
        </w:tc>
      </w:tr>
      <w:tr>
        <w:trPr/>
        <w:tc>
          <w:tcPr>
            <w:tcW w:w="2658" w:type="dxa"/>
            <w:tcBorders>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8455-ΝΤ-ΒΒ1-3622</w:t>
            </w:r>
          </w:p>
        </w:tc>
        <w:tc>
          <w:tcPr>
            <w:tcW w:w="5836" w:type="dxa"/>
            <w:tcBorders>
              <w:start w:val="single" w:sz="4" w:space="0" w:color="000000"/>
              <w:bottom w:val="single" w:sz="4" w:space="0" w:color="000000"/>
              <w:end w:val="double" w:sz="4" w:space="0" w:color="000000"/>
            </w:tcBorders>
          </w:tcPr>
          <w:p>
            <w:pPr>
              <w:pStyle w:val="Normal"/>
              <w:rPr>
                <w:sz w:val="22"/>
                <w:szCs w:val="22"/>
              </w:rPr>
            </w:pPr>
            <w:r>
              <w:rPr>
                <w:sz w:val="22"/>
                <w:szCs w:val="22"/>
              </w:rPr>
              <w:t>ΒΟΗΘΟΣ ΝΟΣΗΛΕΥΤΙΚΗΣ (Β/ΝΟΣ)</w:t>
            </w:r>
          </w:p>
        </w:tc>
      </w:tr>
      <w:tr>
        <w:trPr/>
        <w:tc>
          <w:tcPr>
            <w:tcW w:w="2658" w:type="dxa"/>
            <w:tcBorders>
              <w:top w:val="single" w:sz="4" w:space="0" w:color="000000"/>
              <w:start w:val="double" w:sz="4" w:space="0" w:color="000000"/>
              <w:bottom w:val="double" w:sz="4" w:space="0" w:color="000000"/>
              <w:end w:val="single" w:sz="4" w:space="0" w:color="000000"/>
            </w:tcBorders>
          </w:tcPr>
          <w:p>
            <w:pPr>
              <w:pStyle w:val="Normal"/>
              <w:jc w:val="center"/>
              <w:rPr>
                <w:sz w:val="22"/>
                <w:szCs w:val="22"/>
              </w:rPr>
            </w:pPr>
            <w:r>
              <w:rPr>
                <w:rFonts w:cs="Arial"/>
                <w:sz w:val="22"/>
                <w:szCs w:val="22"/>
                <w:lang w:val="el-GR" w:eastAsia="el-GR"/>
              </w:rPr>
              <w:t>8455-ΝΤ-ΒΒ1-3623</w:t>
            </w:r>
          </w:p>
        </w:tc>
        <w:tc>
          <w:tcPr>
            <w:tcW w:w="5836" w:type="dxa"/>
            <w:tcBorders>
              <w:top w:val="single" w:sz="4" w:space="0" w:color="000000"/>
              <w:start w:val="single" w:sz="4" w:space="0" w:color="000000"/>
              <w:bottom w:val="double" w:sz="4" w:space="0" w:color="000000"/>
              <w:end w:val="double" w:sz="4" w:space="0" w:color="000000"/>
            </w:tcBorders>
          </w:tcPr>
          <w:p>
            <w:pPr>
              <w:pStyle w:val="Normal"/>
              <w:rPr>
                <w:sz w:val="22"/>
                <w:szCs w:val="22"/>
              </w:rPr>
            </w:pPr>
            <w:r>
              <w:rPr>
                <w:rFonts w:cs="Arial"/>
                <w:sz w:val="22"/>
                <w:szCs w:val="22"/>
                <w:lang w:val="el-GR" w:eastAsia="el-GR"/>
              </w:rPr>
              <w:t>ΦΥΣΙΚΟΘΕΡΑΠΕΥΤΗΣ (ΦΥΣ/Θ)</w:t>
            </w:r>
          </w:p>
        </w:tc>
      </w:tr>
    </w:tbl>
    <w:p>
      <w:pPr>
        <w:pStyle w:val="BodyText"/>
        <w:rPr/>
      </w:pPr>
      <w:r>
        <w:rPr/>
      </w:r>
    </w:p>
    <w:p>
      <w:pPr>
        <w:pStyle w:val="BodyText"/>
        <w:rPr/>
      </w:pPr>
      <w:r>
        <w:rPr/>
      </w:r>
    </w:p>
    <w:tbl>
      <w:tblPr>
        <w:tblW w:w="8441" w:type="dxa"/>
        <w:jc w:val="center"/>
        <w:tblInd w:w="0" w:type="dxa"/>
        <w:tblLayout w:type="fixed"/>
        <w:tblCellMar>
          <w:top w:w="0" w:type="dxa"/>
          <w:start w:w="108" w:type="dxa"/>
          <w:bottom w:w="0" w:type="dxa"/>
          <w:end w:w="108" w:type="dxa"/>
        </w:tblCellMar>
      </w:tblPr>
      <w:tblGrid>
        <w:gridCol w:w="2604"/>
        <w:gridCol w:w="5836"/>
      </w:tblGrid>
      <w:tr>
        <w:trPr/>
        <w:tc>
          <w:tcPr>
            <w:tcW w:w="8440" w:type="dxa"/>
            <w:gridSpan w:val="2"/>
            <w:tcBorders>
              <w:top w:val="double" w:sz="4" w:space="0" w:color="000000"/>
              <w:start w:val="double" w:sz="4" w:space="0" w:color="000000"/>
              <w:bottom w:val="single" w:sz="4" w:space="0" w:color="000000"/>
              <w:end w:val="double" w:sz="4" w:space="0" w:color="000000"/>
            </w:tcBorders>
          </w:tcPr>
          <w:p>
            <w:pPr>
              <w:pStyle w:val="Normal"/>
              <w:jc w:val="center"/>
              <w:rPr>
                <w:sz w:val="22"/>
                <w:szCs w:val="22"/>
              </w:rPr>
            </w:pPr>
            <w:r>
              <w:rPr>
                <w:rFonts w:cs="Arial"/>
                <w:b/>
                <w:sz w:val="22"/>
                <w:szCs w:val="22"/>
                <w:lang w:val="el-GR"/>
              </w:rPr>
              <w:t>ΠΙΝΑΚΑΣ ΙΙ</w:t>
            </w:r>
          </w:p>
          <w:p>
            <w:pPr>
              <w:pStyle w:val="Normal"/>
              <w:jc w:val="center"/>
              <w:rPr>
                <w:sz w:val="22"/>
                <w:szCs w:val="22"/>
              </w:rPr>
            </w:pPr>
            <w:r>
              <w:rPr>
                <w:rFonts w:cs="Arial"/>
                <w:b/>
                <w:sz w:val="22"/>
                <w:szCs w:val="22"/>
                <w:lang w:val="el-GR"/>
              </w:rPr>
              <w:t>ΤΑΞΙΝΟΜΗΣΗ  ΔΙΑΚΡΙΤΙΚΩΝ ΒΑΘΜΩΝ &amp; ΕΙΔΙΚΟΤΗΤΩΝ</w:t>
            </w:r>
          </w:p>
          <w:p>
            <w:pPr>
              <w:pStyle w:val="Normal"/>
              <w:jc w:val="center"/>
              <w:rPr>
                <w:sz w:val="22"/>
                <w:szCs w:val="22"/>
              </w:rPr>
            </w:pPr>
            <w:r>
              <w:rPr>
                <w:rFonts w:cs="Arial"/>
                <w:b/>
                <w:sz w:val="22"/>
                <w:szCs w:val="22"/>
                <w:lang w:val="el-GR"/>
              </w:rPr>
              <w:t>ΥΠΑΞΙΩΜΑΤΙΚΩΝ ΜΟΝΙΜΟΠΟΙΗΘΕΝΤΩΝ ΕΜΘ</w:t>
            </w:r>
          </w:p>
        </w:tc>
      </w:tr>
      <w:tr>
        <w:trPr>
          <w:trHeight w:val="395" w:hRule="atLeast"/>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b/>
                <w:sz w:val="22"/>
                <w:szCs w:val="22"/>
                <w:lang w:val="el-GR"/>
              </w:rPr>
              <w:t>ΝΑΥΤΙΚΟΣ ΑΡΙΘΜΟΣ ΤΑΞΙΝΟΜΗΣΗΣ (ΝΑΤ)</w:t>
            </w:r>
          </w:p>
        </w:tc>
        <w:tc>
          <w:tcPr>
            <w:tcW w:w="5836" w:type="dxa"/>
            <w:tcBorders>
              <w:top w:val="single" w:sz="4" w:space="0" w:color="000000"/>
              <w:start w:val="single" w:sz="4" w:space="0" w:color="000000"/>
              <w:bottom w:val="single" w:sz="4" w:space="0" w:color="000000"/>
              <w:end w:val="double" w:sz="4" w:space="0" w:color="000000"/>
            </w:tcBorders>
          </w:tcPr>
          <w:p>
            <w:pPr>
              <w:pStyle w:val="Normal"/>
              <w:jc w:val="center"/>
              <w:rPr>
                <w:sz w:val="22"/>
                <w:szCs w:val="22"/>
              </w:rPr>
            </w:pPr>
            <w:r>
              <w:rPr>
                <w:rFonts w:cs="Arial"/>
                <w:b/>
                <w:sz w:val="22"/>
                <w:szCs w:val="22"/>
                <w:lang w:val="el-GR"/>
              </w:rPr>
              <w:t>ΠΕΡΙΓΡΑΦΗ</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8455-ΝΤ-ΒΒ1-3624</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ΑΡΜΕΝΙΣΤΗΣ (ΑΡΜ)</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8455-ΝΤ-ΒΒ1-3625</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ΔΙΑΧΕΙΡΙΣΤΗΣ (ΔΙΑΧ)</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8455-ΝΤ-ΒΒ1-3626</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ΔΙΟΙΚΗΤΙΚΗΣ ΥΠΟΣΤΗΡΙΞΗΣ (Δ/ΥΠ)</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8455-ΝΤ-ΒΒ1-3627</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ΕΠΙΧΕΙΡΗΣΕΩΝ /  ΕΠΙΚΟΙΝΩΝΙΩΝ (Ε/Ε)</w:t>
            </w:r>
          </w:p>
        </w:tc>
      </w:tr>
      <w:tr>
        <w:trPr/>
        <w:tc>
          <w:tcPr>
            <w:tcW w:w="2604" w:type="dxa"/>
            <w:tcBorders>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8455-ΝΤ-ΒΒ1-3628</w:t>
            </w:r>
          </w:p>
        </w:tc>
        <w:tc>
          <w:tcPr>
            <w:tcW w:w="5836" w:type="dxa"/>
            <w:tcBorders>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ΕΣΧΑΡΕΑΣ (ΕΣΧ)</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8455-ΝΤ-ΒΒ1-3629</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ΗΛΕΚΤΡΟΛΟΓΟΣ (Η/Λ)</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8455-ΝΤ-ΒΒ1-3630</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ΗΛΕΚΤΡΟΝΙΚΩΝ ΥΠΟΛΟΓΙΣΤΩΝ ΚΑΙ ΔΙΚΤΥΩΝ (ΗΥ/Δ)</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8455-ΝΤ-ΒΒ1-3631</w:t>
            </w:r>
          </w:p>
        </w:tc>
        <w:tc>
          <w:tcPr>
            <w:tcW w:w="5836" w:type="dxa"/>
            <w:tcBorders>
              <w:top w:val="single" w:sz="4" w:space="0" w:color="000000"/>
              <w:start w:val="single" w:sz="4" w:space="0" w:color="000000"/>
              <w:bottom w:val="single" w:sz="4" w:space="0" w:color="000000"/>
              <w:end w:val="double" w:sz="4" w:space="0" w:color="000000"/>
            </w:tcBorders>
          </w:tcPr>
          <w:p>
            <w:pPr>
              <w:pStyle w:val="Normal"/>
              <w:snapToGrid w:val="false"/>
              <w:rPr>
                <w:sz w:val="22"/>
                <w:szCs w:val="22"/>
              </w:rPr>
            </w:pPr>
            <w:r>
              <w:rPr>
                <w:rFonts w:cs="Arial"/>
                <w:sz w:val="22"/>
                <w:szCs w:val="22"/>
                <w:lang w:val="el-GR" w:eastAsia="el-GR"/>
              </w:rPr>
              <w:t>ΜΟΥΣΙΚΟΣ (ΜΟΥΣ)</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8455-ΝΤ-ΒΒ1-3632</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ΣΧΕΔΙΑΣΤΗΣ (ΣΧΕΔ)</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8455-ΝΤ-ΒΒ1-3633</w:t>
            </w:r>
          </w:p>
        </w:tc>
        <w:tc>
          <w:tcPr>
            <w:tcW w:w="5836" w:type="dxa"/>
            <w:tcBorders>
              <w:top w:val="single" w:sz="4" w:space="0" w:color="000000"/>
              <w:start w:val="single" w:sz="4" w:space="0" w:color="000000"/>
              <w:bottom w:val="single" w:sz="4" w:space="0" w:color="000000"/>
              <w:end w:val="double" w:sz="4" w:space="0" w:color="000000"/>
            </w:tcBorders>
          </w:tcPr>
          <w:p>
            <w:pPr>
              <w:pStyle w:val="Normal"/>
              <w:snapToGrid w:val="false"/>
              <w:rPr>
                <w:sz w:val="22"/>
                <w:szCs w:val="22"/>
              </w:rPr>
            </w:pPr>
            <w:r>
              <w:rPr>
                <w:rFonts w:cs="Arial"/>
                <w:sz w:val="22"/>
                <w:szCs w:val="22"/>
                <w:lang w:val="el-GR" w:eastAsia="el-GR"/>
              </w:rPr>
              <w:t>ΤΕΧΝΙΚΟΣ ΗΛΕΚΤΡΟΝΙΚΩΝ ΣΥΣΤΗΜΑΤΩΝ (Τ/ΗΝ)</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8455-ΝΤ-ΒΒ1-3634</w:t>
            </w:r>
          </w:p>
        </w:tc>
        <w:tc>
          <w:tcPr>
            <w:tcW w:w="5836" w:type="dxa"/>
            <w:tcBorders>
              <w:top w:val="single" w:sz="4" w:space="0" w:color="000000"/>
              <w:start w:val="single" w:sz="4" w:space="0" w:color="000000"/>
              <w:bottom w:val="single" w:sz="4" w:space="0" w:color="000000"/>
              <w:end w:val="double" w:sz="4" w:space="0" w:color="000000"/>
            </w:tcBorders>
          </w:tcPr>
          <w:p>
            <w:pPr>
              <w:pStyle w:val="Normal"/>
              <w:snapToGrid w:val="false"/>
              <w:rPr>
                <w:sz w:val="22"/>
                <w:szCs w:val="22"/>
              </w:rPr>
            </w:pPr>
            <w:r>
              <w:rPr>
                <w:rFonts w:cs="Arial"/>
                <w:sz w:val="22"/>
                <w:szCs w:val="22"/>
                <w:lang w:val="el-GR" w:eastAsia="el-GR"/>
              </w:rPr>
              <w:t>ΤΕΧΝΙΚΟΣ ΜΗΧΑΝΟΛΟΓΙΚΩΝ ΣΥΣΤΗΜΑΤΩΝ (Τ/ΜΗΧ)</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8455-ΝΤ-ΒΒ1-3635</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ΤΕΧΝΙΚΟΣ ΣΥΝΕΡΓΕΙΩΝ (Τ/ΣΥΝ)</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8455-ΝΤ-ΒΒ1-3636</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ΤΕΧΝΙΤΗΣ ΟΠΛΩΝ (Τ/ΟΠΛ)</w:t>
            </w:r>
          </w:p>
        </w:tc>
      </w:tr>
      <w:tr>
        <w:trPr/>
        <w:tc>
          <w:tcPr>
            <w:tcW w:w="2604" w:type="dxa"/>
            <w:tcBorders>
              <w:start w:val="double" w:sz="4" w:space="0" w:color="000000"/>
              <w:bottom w:val="single" w:sz="4" w:space="0" w:color="000000"/>
              <w:end w:val="single" w:sz="4" w:space="0" w:color="000000"/>
            </w:tcBorders>
          </w:tcPr>
          <w:p>
            <w:pPr>
              <w:pStyle w:val="Normal"/>
              <w:jc w:val="center"/>
              <w:rPr>
                <w:sz w:val="22"/>
                <w:szCs w:val="22"/>
              </w:rPr>
            </w:pPr>
            <w:r>
              <w:rPr>
                <w:rFonts w:cs="Arial"/>
                <w:sz w:val="22"/>
                <w:szCs w:val="22"/>
                <w:lang w:val="el-GR" w:eastAsia="el-GR"/>
              </w:rPr>
              <w:t>8455-ΝΤ-ΒΒ1-3637</w:t>
            </w:r>
          </w:p>
        </w:tc>
        <w:tc>
          <w:tcPr>
            <w:tcW w:w="5836" w:type="dxa"/>
            <w:tcBorders>
              <w:start w:val="single" w:sz="4" w:space="0" w:color="000000"/>
              <w:bottom w:val="single" w:sz="4" w:space="0" w:color="000000"/>
              <w:end w:val="double" w:sz="4" w:space="0" w:color="000000"/>
            </w:tcBorders>
          </w:tcPr>
          <w:p>
            <w:pPr>
              <w:pStyle w:val="Normal"/>
              <w:rPr>
                <w:sz w:val="22"/>
                <w:szCs w:val="22"/>
              </w:rPr>
            </w:pPr>
            <w:r>
              <w:rPr>
                <w:sz w:val="22"/>
                <w:szCs w:val="22"/>
              </w:rPr>
              <w:t>ΒΟΗΘΟΣ ΝΟΣΗΛΕΥΤΙΚΗΣ (Β/ΝΟΣ)</w:t>
            </w:r>
          </w:p>
        </w:tc>
      </w:tr>
      <w:tr>
        <w:trPr/>
        <w:tc>
          <w:tcPr>
            <w:tcW w:w="2604" w:type="dxa"/>
            <w:tcBorders>
              <w:top w:val="single" w:sz="4" w:space="0" w:color="000000"/>
              <w:start w:val="double" w:sz="4" w:space="0" w:color="000000"/>
              <w:bottom w:val="double" w:sz="4" w:space="0" w:color="000000"/>
              <w:end w:val="single" w:sz="4" w:space="0" w:color="000000"/>
            </w:tcBorders>
          </w:tcPr>
          <w:p>
            <w:pPr>
              <w:pStyle w:val="Normal"/>
              <w:jc w:val="center"/>
              <w:rPr>
                <w:sz w:val="22"/>
                <w:szCs w:val="22"/>
              </w:rPr>
            </w:pPr>
            <w:r>
              <w:rPr>
                <w:rFonts w:cs="Arial"/>
                <w:sz w:val="22"/>
                <w:szCs w:val="22"/>
                <w:lang w:val="el-GR" w:eastAsia="el-GR"/>
              </w:rPr>
              <w:t>8455-ΝΤ-ΒΒ1-3638</w:t>
            </w:r>
          </w:p>
        </w:tc>
        <w:tc>
          <w:tcPr>
            <w:tcW w:w="5836" w:type="dxa"/>
            <w:tcBorders>
              <w:top w:val="single" w:sz="4" w:space="0" w:color="000000"/>
              <w:start w:val="single" w:sz="4" w:space="0" w:color="000000"/>
              <w:bottom w:val="double" w:sz="4" w:space="0" w:color="000000"/>
              <w:end w:val="double" w:sz="4" w:space="0" w:color="000000"/>
            </w:tcBorders>
          </w:tcPr>
          <w:p>
            <w:pPr>
              <w:pStyle w:val="Normal"/>
              <w:rPr>
                <w:sz w:val="22"/>
                <w:szCs w:val="22"/>
              </w:rPr>
            </w:pPr>
            <w:r>
              <w:rPr>
                <w:rFonts w:cs="Arial"/>
                <w:sz w:val="22"/>
                <w:szCs w:val="22"/>
                <w:lang w:val="el-GR" w:eastAsia="el-GR"/>
              </w:rPr>
              <w:t>ΦΥΣΙΚΟΘΕΡΑΠΕΥΤΗΣ (ΦΥΣ/Θ)</w:t>
            </w:r>
          </w:p>
        </w:tc>
      </w:tr>
    </w:tbl>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tbl>
      <w:tblPr>
        <w:tblW w:w="8441" w:type="dxa"/>
        <w:jc w:val="center"/>
        <w:tblInd w:w="0" w:type="dxa"/>
        <w:tblLayout w:type="fixed"/>
        <w:tblCellMar>
          <w:top w:w="0" w:type="dxa"/>
          <w:start w:w="108" w:type="dxa"/>
          <w:bottom w:w="0" w:type="dxa"/>
          <w:end w:w="108" w:type="dxa"/>
        </w:tblCellMar>
      </w:tblPr>
      <w:tblGrid>
        <w:gridCol w:w="2604"/>
        <w:gridCol w:w="5836"/>
      </w:tblGrid>
      <w:tr>
        <w:trPr/>
        <w:tc>
          <w:tcPr>
            <w:tcW w:w="8440" w:type="dxa"/>
            <w:gridSpan w:val="2"/>
            <w:tcBorders>
              <w:top w:val="double" w:sz="4" w:space="0" w:color="000000"/>
              <w:start w:val="double" w:sz="4" w:space="0" w:color="000000"/>
              <w:bottom w:val="single" w:sz="4" w:space="0" w:color="000000"/>
              <w:end w:val="double" w:sz="4" w:space="0" w:color="000000"/>
            </w:tcBorders>
          </w:tcPr>
          <w:p>
            <w:pPr>
              <w:pStyle w:val="Normal"/>
              <w:jc w:val="center"/>
              <w:rPr>
                <w:sz w:val="22"/>
                <w:szCs w:val="22"/>
              </w:rPr>
            </w:pPr>
            <w:r>
              <w:rPr>
                <w:rFonts w:cs="Arial"/>
                <w:b/>
                <w:sz w:val="22"/>
                <w:szCs w:val="22"/>
                <w:lang w:val="el-GR"/>
              </w:rPr>
              <w:t>ΠΙΝΑΚΑΣ ΙΙ</w:t>
            </w:r>
            <w:r>
              <w:rPr>
                <w:rFonts w:cs="Arial"/>
                <w:b/>
                <w:sz w:val="22"/>
                <w:szCs w:val="22"/>
                <w:lang w:val="en-US"/>
              </w:rPr>
              <w:t>I</w:t>
            </w:r>
          </w:p>
          <w:p>
            <w:pPr>
              <w:pStyle w:val="Normal"/>
              <w:jc w:val="center"/>
              <w:rPr>
                <w:sz w:val="22"/>
                <w:szCs w:val="22"/>
              </w:rPr>
            </w:pPr>
            <w:r>
              <w:rPr>
                <w:rFonts w:cs="Arial"/>
                <w:b/>
                <w:sz w:val="22"/>
                <w:szCs w:val="22"/>
                <w:lang w:val="el-GR"/>
              </w:rPr>
              <w:t>ΤΑΞΙΝΟΜΗΣΗ  ΔΙΑΚΡΙΤΙΚΩΝ ΒΑΘΜΩΝ &amp; ΕΙΔΙΚΟΤΗΤΩΝ</w:t>
            </w:r>
          </w:p>
          <w:p>
            <w:pPr>
              <w:pStyle w:val="Normal"/>
              <w:jc w:val="center"/>
              <w:rPr>
                <w:lang w:val="el-GR"/>
              </w:rPr>
            </w:pPr>
            <w:r>
              <w:rPr>
                <w:rFonts w:cs="Arial"/>
                <w:b/>
                <w:sz w:val="22"/>
                <w:szCs w:val="22"/>
                <w:lang w:val="el-GR"/>
              </w:rPr>
              <w:t>ΔΙΟΠΩΝ ΕΠ.ΟΠ</w:t>
            </w:r>
          </w:p>
        </w:tc>
      </w:tr>
      <w:tr>
        <w:trPr>
          <w:trHeight w:val="395" w:hRule="atLeast"/>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b/>
                <w:sz w:val="22"/>
                <w:szCs w:val="22"/>
                <w:lang w:val="el-GR"/>
              </w:rPr>
              <w:t>ΝΑΥΤΙΚΟΣ ΑΡΙΘΜΟΣ ΤΑΞΙΝΟΜΗΣΗΣ (ΝΑΤ)</w:t>
            </w:r>
          </w:p>
        </w:tc>
        <w:tc>
          <w:tcPr>
            <w:tcW w:w="5836" w:type="dxa"/>
            <w:tcBorders>
              <w:top w:val="single" w:sz="4" w:space="0" w:color="000000"/>
              <w:start w:val="single" w:sz="4" w:space="0" w:color="000000"/>
              <w:bottom w:val="single" w:sz="4" w:space="0" w:color="000000"/>
              <w:end w:val="double" w:sz="4" w:space="0" w:color="000000"/>
            </w:tcBorders>
          </w:tcPr>
          <w:p>
            <w:pPr>
              <w:pStyle w:val="Normal"/>
              <w:jc w:val="center"/>
              <w:rPr>
                <w:sz w:val="22"/>
                <w:szCs w:val="22"/>
              </w:rPr>
            </w:pPr>
            <w:r>
              <w:rPr>
                <w:rFonts w:cs="Arial"/>
                <w:b/>
                <w:sz w:val="22"/>
                <w:szCs w:val="22"/>
                <w:lang w:val="el-GR"/>
              </w:rPr>
              <w:t>ΠΕΡΙΓΡΑΦΗ</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3670</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ΑΡΜΕΝΙΣΤΗΣ (ΑΡΜ)</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3671</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ΔΙΑΧΕΙΡΙΣΤΗΣ (ΔΙΑΧ)</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3672</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ΔΙΟΙΚΗΤΙΚΗΣ ΥΠΟΣΤΗΡΙΞΗΣ (Δ/ΥΠ)</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3673</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ΕΠΙΧΕΙΡΗΣΕΩΝ /  ΕΠΙΚΟΙΝΩΝΙΩΝ (Ε/Ε)</w:t>
            </w:r>
          </w:p>
        </w:tc>
      </w:tr>
      <w:tr>
        <w:trPr/>
        <w:tc>
          <w:tcPr>
            <w:tcW w:w="2604" w:type="dxa"/>
            <w:tcBorders>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3674</w:t>
            </w:r>
          </w:p>
        </w:tc>
        <w:tc>
          <w:tcPr>
            <w:tcW w:w="5836" w:type="dxa"/>
            <w:tcBorders>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ΕΣΧΑΡΕΑΣ (ΕΣΧ)</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3675</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ΗΛΕΚΤΡΟΛΟΓΟΣ (Η/Λ)</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3676</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ΗΛΕΚΤΡΟΝΙΚΩΝ ΥΠΟΛΟΓΙΣΤΩΝ ΚΑΙ ΔΙΚΤΥΩΝ (ΗΥ/Δ)</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3677</w:t>
            </w:r>
          </w:p>
        </w:tc>
        <w:tc>
          <w:tcPr>
            <w:tcW w:w="5836" w:type="dxa"/>
            <w:tcBorders>
              <w:top w:val="single" w:sz="4" w:space="0" w:color="000000"/>
              <w:start w:val="single" w:sz="4" w:space="0" w:color="000000"/>
              <w:bottom w:val="single" w:sz="4" w:space="0" w:color="000000"/>
              <w:end w:val="double" w:sz="4" w:space="0" w:color="000000"/>
            </w:tcBorders>
          </w:tcPr>
          <w:p>
            <w:pPr>
              <w:pStyle w:val="Normal"/>
              <w:snapToGrid w:val="false"/>
              <w:rPr>
                <w:sz w:val="22"/>
                <w:szCs w:val="22"/>
              </w:rPr>
            </w:pPr>
            <w:r>
              <w:rPr>
                <w:rFonts w:cs="Arial"/>
                <w:sz w:val="22"/>
                <w:szCs w:val="22"/>
                <w:lang w:val="el-GR" w:eastAsia="el-GR"/>
              </w:rPr>
              <w:t>ΜΟΥΣΙΚΟΣ (ΜΟΥΣ)</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3678</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ΣΧΕΔΙΑΣΤΗΣ (ΣΧΕΔ)</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3679</w:t>
            </w:r>
          </w:p>
        </w:tc>
        <w:tc>
          <w:tcPr>
            <w:tcW w:w="5836" w:type="dxa"/>
            <w:tcBorders>
              <w:top w:val="single" w:sz="4" w:space="0" w:color="000000"/>
              <w:start w:val="single" w:sz="4" w:space="0" w:color="000000"/>
              <w:bottom w:val="single" w:sz="4" w:space="0" w:color="000000"/>
              <w:end w:val="double" w:sz="4" w:space="0" w:color="000000"/>
            </w:tcBorders>
          </w:tcPr>
          <w:p>
            <w:pPr>
              <w:pStyle w:val="Normal"/>
              <w:snapToGrid w:val="false"/>
              <w:rPr>
                <w:sz w:val="22"/>
                <w:szCs w:val="22"/>
              </w:rPr>
            </w:pPr>
            <w:r>
              <w:rPr>
                <w:rFonts w:cs="Arial"/>
                <w:sz w:val="22"/>
                <w:szCs w:val="22"/>
                <w:lang w:val="el-GR" w:eastAsia="el-GR"/>
              </w:rPr>
              <w:t>ΤΕΧΝΙΚΟΣ ΗΛΕΚΤΡΟΝΙΚΩΝ ΣΥΣΤΗΜΑΤΩΝ (Τ/ΗΝ)</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3680</w:t>
            </w:r>
          </w:p>
        </w:tc>
        <w:tc>
          <w:tcPr>
            <w:tcW w:w="5836" w:type="dxa"/>
            <w:tcBorders>
              <w:top w:val="single" w:sz="4" w:space="0" w:color="000000"/>
              <w:start w:val="single" w:sz="4" w:space="0" w:color="000000"/>
              <w:bottom w:val="single" w:sz="4" w:space="0" w:color="000000"/>
              <w:end w:val="double" w:sz="4" w:space="0" w:color="000000"/>
            </w:tcBorders>
          </w:tcPr>
          <w:p>
            <w:pPr>
              <w:pStyle w:val="Normal"/>
              <w:snapToGrid w:val="false"/>
              <w:rPr>
                <w:sz w:val="22"/>
                <w:szCs w:val="22"/>
              </w:rPr>
            </w:pPr>
            <w:r>
              <w:rPr>
                <w:rFonts w:cs="Arial"/>
                <w:sz w:val="22"/>
                <w:szCs w:val="22"/>
                <w:lang w:val="el-GR" w:eastAsia="el-GR"/>
              </w:rPr>
              <w:t>ΤΕΧΝΙΚΟΣ ΜΗΧΑΝΟΛΟΓΙΚΩΝ ΣΥΣΤΗΜΑΤΩΝ (Τ/ΜΗΧ)</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3681</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ΤΕΧΝΙΚΟΣ ΣΥΝΕΡΓΕΙΩΝ (Τ/ΣΥΝ)</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3682</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ΤΕΧΝΙΤΗΣ ΟΠΛΩΝ (Τ/ΟΠΛ)</w:t>
            </w:r>
          </w:p>
        </w:tc>
      </w:tr>
      <w:tr>
        <w:trPr/>
        <w:tc>
          <w:tcPr>
            <w:tcW w:w="2604" w:type="dxa"/>
            <w:tcBorders>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3683</w:t>
            </w:r>
          </w:p>
        </w:tc>
        <w:tc>
          <w:tcPr>
            <w:tcW w:w="5836" w:type="dxa"/>
            <w:tcBorders>
              <w:start w:val="single" w:sz="4" w:space="0" w:color="000000"/>
              <w:bottom w:val="single" w:sz="4" w:space="0" w:color="000000"/>
              <w:end w:val="double" w:sz="4" w:space="0" w:color="000000"/>
            </w:tcBorders>
          </w:tcPr>
          <w:p>
            <w:pPr>
              <w:pStyle w:val="Normal"/>
              <w:rPr>
                <w:sz w:val="22"/>
                <w:szCs w:val="22"/>
              </w:rPr>
            </w:pPr>
            <w:r>
              <w:rPr>
                <w:sz w:val="22"/>
                <w:szCs w:val="22"/>
              </w:rPr>
              <w:t>ΒΟΗΘΟΣ ΝΟΣΗΛΕΥΤΙΚΗΣ (Β/ΝΟΣ)</w:t>
            </w:r>
          </w:p>
        </w:tc>
      </w:tr>
      <w:tr>
        <w:trPr/>
        <w:tc>
          <w:tcPr>
            <w:tcW w:w="2604" w:type="dxa"/>
            <w:tcBorders>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3684</w:t>
            </w:r>
          </w:p>
        </w:tc>
        <w:tc>
          <w:tcPr>
            <w:tcW w:w="5836" w:type="dxa"/>
            <w:tcBorders>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ΦΥΣΙΚΟΘΕΡΑΠΕΥΤΗΣ (ΦΥΣ/Θ)</w:t>
            </w:r>
          </w:p>
        </w:tc>
      </w:tr>
      <w:tr>
        <w:trPr/>
        <w:tc>
          <w:tcPr>
            <w:tcW w:w="2604" w:type="dxa"/>
            <w:tcBorders>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3685</w:t>
            </w:r>
          </w:p>
        </w:tc>
        <w:tc>
          <w:tcPr>
            <w:tcW w:w="5836" w:type="dxa"/>
            <w:tcBorders>
              <w:start w:val="single" w:sz="4" w:space="0" w:color="000000"/>
              <w:bottom w:val="single" w:sz="4" w:space="0" w:color="000000"/>
              <w:end w:val="double" w:sz="4" w:space="0" w:color="000000"/>
            </w:tcBorders>
          </w:tcPr>
          <w:p>
            <w:pPr>
              <w:pStyle w:val="Normal"/>
              <w:rPr>
                <w:sz w:val="22"/>
                <w:szCs w:val="22"/>
                <w:lang w:val="el-GR"/>
              </w:rPr>
            </w:pPr>
            <w:r>
              <w:rPr>
                <w:sz w:val="22"/>
                <w:szCs w:val="22"/>
                <w:lang w:val="el-GR"/>
              </w:rPr>
              <w:t>ΙΑΤΡΟΣ – ΟΔΟΝΤΙΑΤΡΟΣ</w:t>
            </w:r>
          </w:p>
        </w:tc>
      </w:tr>
      <w:tr>
        <w:trPr/>
        <w:tc>
          <w:tcPr>
            <w:tcW w:w="2604" w:type="dxa"/>
            <w:tcBorders>
              <w:top w:val="single" w:sz="4" w:space="0" w:color="000000"/>
              <w:start w:val="double" w:sz="4" w:space="0" w:color="000000"/>
              <w:bottom w:val="double" w:sz="4" w:space="0" w:color="000000"/>
              <w:end w:val="single" w:sz="4" w:space="0" w:color="000000"/>
            </w:tcBorders>
          </w:tcPr>
          <w:p>
            <w:pPr>
              <w:pStyle w:val="Normal"/>
              <w:jc w:val="center"/>
              <w:rPr>
                <w:lang w:val="en-US"/>
              </w:rPr>
            </w:pPr>
            <w:r>
              <w:rPr>
                <w:lang w:val="en-US"/>
              </w:rPr>
              <w:t>8455-NT-BB1-</w:t>
            </w:r>
            <w:r>
              <w:rPr>
                <w:lang w:val="el-GR"/>
              </w:rPr>
              <w:t>3686</w:t>
            </w:r>
          </w:p>
        </w:tc>
        <w:tc>
          <w:tcPr>
            <w:tcW w:w="5836" w:type="dxa"/>
            <w:tcBorders>
              <w:top w:val="single" w:sz="4" w:space="0" w:color="000000"/>
              <w:start w:val="single" w:sz="4" w:space="0" w:color="000000"/>
              <w:bottom w:val="double" w:sz="4" w:space="0" w:color="000000"/>
              <w:end w:val="double" w:sz="4" w:space="0" w:color="000000"/>
            </w:tcBorders>
          </w:tcPr>
          <w:p>
            <w:pPr>
              <w:pStyle w:val="Normal"/>
              <w:rPr>
                <w:sz w:val="22"/>
                <w:szCs w:val="22"/>
              </w:rPr>
            </w:pPr>
            <w:r>
              <w:rPr>
                <w:rFonts w:cs="Arial"/>
                <w:sz w:val="22"/>
                <w:szCs w:val="22"/>
                <w:lang w:val="el-GR" w:eastAsia="el-GR"/>
              </w:rPr>
              <w:t>ΟΔΗΓΟΣ</w:t>
            </w:r>
          </w:p>
        </w:tc>
      </w:tr>
    </w:tbl>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tbl>
      <w:tblPr>
        <w:tblW w:w="8441" w:type="dxa"/>
        <w:jc w:val="center"/>
        <w:tblInd w:w="0" w:type="dxa"/>
        <w:tblLayout w:type="fixed"/>
        <w:tblCellMar>
          <w:top w:w="0" w:type="dxa"/>
          <w:start w:w="108" w:type="dxa"/>
          <w:bottom w:w="0" w:type="dxa"/>
          <w:end w:w="108" w:type="dxa"/>
        </w:tblCellMar>
      </w:tblPr>
      <w:tblGrid>
        <w:gridCol w:w="2604"/>
        <w:gridCol w:w="5836"/>
      </w:tblGrid>
      <w:tr>
        <w:trPr/>
        <w:tc>
          <w:tcPr>
            <w:tcW w:w="8440" w:type="dxa"/>
            <w:gridSpan w:val="2"/>
            <w:tcBorders>
              <w:top w:val="double" w:sz="4" w:space="0" w:color="000000"/>
              <w:start w:val="double" w:sz="4" w:space="0" w:color="000000"/>
              <w:bottom w:val="single" w:sz="4" w:space="0" w:color="000000"/>
              <w:end w:val="double" w:sz="4" w:space="0" w:color="000000"/>
            </w:tcBorders>
          </w:tcPr>
          <w:p>
            <w:pPr>
              <w:pStyle w:val="Normal"/>
              <w:jc w:val="center"/>
              <w:rPr>
                <w:sz w:val="22"/>
                <w:szCs w:val="22"/>
              </w:rPr>
            </w:pPr>
            <w:r>
              <w:rPr>
                <w:rFonts w:cs="Arial"/>
                <w:b/>
                <w:sz w:val="22"/>
                <w:szCs w:val="22"/>
                <w:lang w:val="el-GR"/>
              </w:rPr>
              <w:t>ΠΙΝΑΚΑΣ Ι</w:t>
            </w:r>
            <w:r>
              <w:rPr>
                <w:rFonts w:cs="Arial"/>
                <w:b/>
                <w:sz w:val="22"/>
                <w:szCs w:val="22"/>
                <w:lang w:val="en-US"/>
              </w:rPr>
              <w:t>V</w:t>
            </w:r>
          </w:p>
          <w:p>
            <w:pPr>
              <w:pStyle w:val="Normal"/>
              <w:jc w:val="center"/>
              <w:rPr>
                <w:sz w:val="22"/>
                <w:szCs w:val="22"/>
              </w:rPr>
            </w:pPr>
            <w:r>
              <w:rPr>
                <w:rFonts w:cs="Arial"/>
                <w:b/>
                <w:sz w:val="22"/>
                <w:szCs w:val="22"/>
                <w:lang w:val="el-GR"/>
              </w:rPr>
              <w:t>ΤΑΞΙΝΟΜΗΣΗ  ΔΙΑΚΡΙΤΙΚΩΝ ΒΑΘΜΩΝ &amp; ΕΙΔΙΚΟΤΗΤΩΝ</w:t>
            </w:r>
          </w:p>
          <w:p>
            <w:pPr>
              <w:pStyle w:val="Normal"/>
              <w:jc w:val="center"/>
              <w:rPr>
                <w:lang w:val="el-GR"/>
              </w:rPr>
            </w:pPr>
            <w:r>
              <w:rPr>
                <w:rFonts w:cs="Arial"/>
                <w:b/>
                <w:sz w:val="22"/>
                <w:szCs w:val="22"/>
                <w:lang w:val="el-GR"/>
              </w:rPr>
              <w:t>ΝΑΥΤΩΝ ΕΠ.ΟΠ</w:t>
            </w:r>
          </w:p>
        </w:tc>
      </w:tr>
      <w:tr>
        <w:trPr>
          <w:trHeight w:val="395" w:hRule="atLeast"/>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b/>
                <w:sz w:val="22"/>
                <w:szCs w:val="22"/>
                <w:lang w:val="el-GR"/>
              </w:rPr>
              <w:t>ΝΑΥΤΙΚΟΣ ΑΡΙΘΜΟΣ ΤΑΞΙΝΟΜΗΣΗΣ (ΝΑΤ)</w:t>
            </w:r>
          </w:p>
        </w:tc>
        <w:tc>
          <w:tcPr>
            <w:tcW w:w="5836" w:type="dxa"/>
            <w:tcBorders>
              <w:top w:val="single" w:sz="4" w:space="0" w:color="000000"/>
              <w:start w:val="single" w:sz="4" w:space="0" w:color="000000"/>
              <w:bottom w:val="single" w:sz="4" w:space="0" w:color="000000"/>
              <w:end w:val="double" w:sz="4" w:space="0" w:color="000000"/>
            </w:tcBorders>
          </w:tcPr>
          <w:p>
            <w:pPr>
              <w:pStyle w:val="Normal"/>
              <w:jc w:val="center"/>
              <w:rPr>
                <w:sz w:val="22"/>
                <w:szCs w:val="22"/>
              </w:rPr>
            </w:pPr>
            <w:r>
              <w:rPr>
                <w:rFonts w:cs="Arial"/>
                <w:b/>
                <w:sz w:val="22"/>
                <w:szCs w:val="22"/>
                <w:lang w:val="el-GR"/>
              </w:rPr>
              <w:t>ΠΕΡΙΓΡΑΦΗ</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3687</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ΑΡΜΕΝΙΣΤΗΣ (ΑΡΜ)</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3688</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ΔΙΑΧΕΙΡΙΣΤΗΣ (ΔΙΑΧ)</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3689</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ΔΙΟΙΚΗΤΙΚΗΣ ΥΠΟΣΤΗΡΙΞΗΣ (Δ/ΥΠ)</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3690</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ΕΠΙΧΕΙΡΗΣΕΩΝ /  ΕΠΙΚΟΙΝΩΝΙΩΝ (Ε/Ε)</w:t>
            </w:r>
          </w:p>
        </w:tc>
      </w:tr>
      <w:tr>
        <w:trPr/>
        <w:tc>
          <w:tcPr>
            <w:tcW w:w="2604" w:type="dxa"/>
            <w:tcBorders>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3691</w:t>
            </w:r>
          </w:p>
        </w:tc>
        <w:tc>
          <w:tcPr>
            <w:tcW w:w="5836" w:type="dxa"/>
            <w:tcBorders>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ΕΣΧΑΡΕΑΣ (ΕΣΧ)</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3692</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ΗΛΕΚΤΡΟΛΟΓΟΣ (Η/Λ)</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3693</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ΗΛΕΚΤΡΟΝΙΚΩΝ ΥΠΟΛΟΓΙΣΤΩΝ ΚΑΙ ΔΙΚΤΥΩΝ (ΗΥ/Δ)</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3694</w:t>
            </w:r>
          </w:p>
        </w:tc>
        <w:tc>
          <w:tcPr>
            <w:tcW w:w="5836" w:type="dxa"/>
            <w:tcBorders>
              <w:top w:val="single" w:sz="4" w:space="0" w:color="000000"/>
              <w:start w:val="single" w:sz="4" w:space="0" w:color="000000"/>
              <w:bottom w:val="single" w:sz="4" w:space="0" w:color="000000"/>
              <w:end w:val="double" w:sz="4" w:space="0" w:color="000000"/>
            </w:tcBorders>
          </w:tcPr>
          <w:p>
            <w:pPr>
              <w:pStyle w:val="Normal"/>
              <w:snapToGrid w:val="false"/>
              <w:rPr>
                <w:sz w:val="22"/>
                <w:szCs w:val="22"/>
              </w:rPr>
            </w:pPr>
            <w:r>
              <w:rPr>
                <w:rFonts w:cs="Arial"/>
                <w:sz w:val="22"/>
                <w:szCs w:val="22"/>
                <w:lang w:val="el-GR" w:eastAsia="el-GR"/>
              </w:rPr>
              <w:t>ΜΟΥΣΙΚΟΣ (ΜΟΥΣ)</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3695</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ΣΧΕΔΙΑΣΤΗΣ (ΣΧΕΔ)</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3696</w:t>
            </w:r>
          </w:p>
        </w:tc>
        <w:tc>
          <w:tcPr>
            <w:tcW w:w="5836" w:type="dxa"/>
            <w:tcBorders>
              <w:top w:val="single" w:sz="4" w:space="0" w:color="000000"/>
              <w:start w:val="single" w:sz="4" w:space="0" w:color="000000"/>
              <w:bottom w:val="single" w:sz="4" w:space="0" w:color="000000"/>
              <w:end w:val="double" w:sz="4" w:space="0" w:color="000000"/>
            </w:tcBorders>
          </w:tcPr>
          <w:p>
            <w:pPr>
              <w:pStyle w:val="Normal"/>
              <w:snapToGrid w:val="false"/>
              <w:rPr>
                <w:sz w:val="22"/>
                <w:szCs w:val="22"/>
              </w:rPr>
            </w:pPr>
            <w:r>
              <w:rPr>
                <w:rFonts w:cs="Arial"/>
                <w:sz w:val="22"/>
                <w:szCs w:val="22"/>
                <w:lang w:val="el-GR" w:eastAsia="el-GR"/>
              </w:rPr>
              <w:t>ΤΕΧΝΙΚΟΣ ΗΛΕΚΤΡΟΝΙΚΩΝ ΣΥΣΤΗΜΑΤΩΝ (Τ/ΗΝ)</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3697</w:t>
            </w:r>
          </w:p>
        </w:tc>
        <w:tc>
          <w:tcPr>
            <w:tcW w:w="5836" w:type="dxa"/>
            <w:tcBorders>
              <w:top w:val="single" w:sz="4" w:space="0" w:color="000000"/>
              <w:start w:val="single" w:sz="4" w:space="0" w:color="000000"/>
              <w:bottom w:val="single" w:sz="4" w:space="0" w:color="000000"/>
              <w:end w:val="double" w:sz="4" w:space="0" w:color="000000"/>
            </w:tcBorders>
          </w:tcPr>
          <w:p>
            <w:pPr>
              <w:pStyle w:val="Normal"/>
              <w:snapToGrid w:val="false"/>
              <w:rPr>
                <w:sz w:val="22"/>
                <w:szCs w:val="22"/>
              </w:rPr>
            </w:pPr>
            <w:r>
              <w:rPr>
                <w:rFonts w:cs="Arial"/>
                <w:sz w:val="22"/>
                <w:szCs w:val="22"/>
                <w:lang w:val="el-GR" w:eastAsia="el-GR"/>
              </w:rPr>
              <w:t>ΤΕΧΝΙΚΟΣ ΜΗΧΑΝΟΛΟΓΙΚΩΝ ΣΥΣΤΗΜΑΤΩΝ (Τ/ΜΗΧ)</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3698</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ΤΕΧΝΙΚΟΣ ΣΥΝΕΡΓΕΙΩΝ (Τ/ΣΥΝ)</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3699</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ΤΕΧΝΙΤΗΣ ΟΠΛΩΝ (Τ/ΟΠΛ)</w:t>
            </w:r>
          </w:p>
        </w:tc>
      </w:tr>
      <w:tr>
        <w:trPr/>
        <w:tc>
          <w:tcPr>
            <w:tcW w:w="2604" w:type="dxa"/>
            <w:tcBorders>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3700</w:t>
            </w:r>
          </w:p>
        </w:tc>
        <w:tc>
          <w:tcPr>
            <w:tcW w:w="5836" w:type="dxa"/>
            <w:tcBorders>
              <w:start w:val="single" w:sz="4" w:space="0" w:color="000000"/>
              <w:bottom w:val="single" w:sz="4" w:space="0" w:color="000000"/>
              <w:end w:val="double" w:sz="4" w:space="0" w:color="000000"/>
            </w:tcBorders>
          </w:tcPr>
          <w:p>
            <w:pPr>
              <w:pStyle w:val="Normal"/>
              <w:rPr>
                <w:sz w:val="22"/>
                <w:szCs w:val="22"/>
              </w:rPr>
            </w:pPr>
            <w:r>
              <w:rPr>
                <w:sz w:val="22"/>
                <w:szCs w:val="22"/>
              </w:rPr>
              <w:t>ΒΟΗΘΟΣ ΝΟΣΗΛΕΥΤΙΚΗΣ (Β/ΝΟΣ)</w:t>
            </w:r>
          </w:p>
        </w:tc>
      </w:tr>
      <w:tr>
        <w:trPr/>
        <w:tc>
          <w:tcPr>
            <w:tcW w:w="2604" w:type="dxa"/>
            <w:tcBorders>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3701</w:t>
            </w:r>
          </w:p>
        </w:tc>
        <w:tc>
          <w:tcPr>
            <w:tcW w:w="5836" w:type="dxa"/>
            <w:tcBorders>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ΦΥΣΙΚΟΘΕΡΑΠΕΥΤΗΣ (ΦΥΣ/Θ)</w:t>
            </w:r>
          </w:p>
        </w:tc>
      </w:tr>
      <w:tr>
        <w:trPr/>
        <w:tc>
          <w:tcPr>
            <w:tcW w:w="2604" w:type="dxa"/>
            <w:tcBorders>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3702</w:t>
            </w:r>
          </w:p>
        </w:tc>
        <w:tc>
          <w:tcPr>
            <w:tcW w:w="5836" w:type="dxa"/>
            <w:tcBorders>
              <w:start w:val="single" w:sz="4" w:space="0" w:color="000000"/>
              <w:bottom w:val="single" w:sz="4" w:space="0" w:color="000000"/>
              <w:end w:val="double" w:sz="4" w:space="0" w:color="000000"/>
            </w:tcBorders>
          </w:tcPr>
          <w:p>
            <w:pPr>
              <w:pStyle w:val="Normal"/>
              <w:rPr>
                <w:sz w:val="22"/>
                <w:szCs w:val="22"/>
                <w:lang w:val="el-GR"/>
              </w:rPr>
            </w:pPr>
            <w:r>
              <w:rPr>
                <w:sz w:val="22"/>
                <w:szCs w:val="22"/>
                <w:lang w:val="el-GR"/>
              </w:rPr>
              <w:t>ΙΑΤΡΟΣ – ΟΔΟΝΤΙΑΤΡΟΣ</w:t>
            </w:r>
          </w:p>
        </w:tc>
      </w:tr>
      <w:tr>
        <w:trPr/>
        <w:tc>
          <w:tcPr>
            <w:tcW w:w="2604" w:type="dxa"/>
            <w:tcBorders>
              <w:top w:val="single" w:sz="4" w:space="0" w:color="000000"/>
              <w:start w:val="double" w:sz="4" w:space="0" w:color="000000"/>
              <w:bottom w:val="double" w:sz="4" w:space="0" w:color="000000"/>
              <w:end w:val="single" w:sz="4" w:space="0" w:color="000000"/>
            </w:tcBorders>
          </w:tcPr>
          <w:p>
            <w:pPr>
              <w:pStyle w:val="Normal"/>
              <w:jc w:val="center"/>
              <w:rPr>
                <w:lang w:val="en-US"/>
              </w:rPr>
            </w:pPr>
            <w:r>
              <w:rPr>
                <w:lang w:val="en-US"/>
              </w:rPr>
              <w:t>8455-NT-BB1-</w:t>
            </w:r>
            <w:r>
              <w:rPr>
                <w:lang w:val="el-GR"/>
              </w:rPr>
              <w:t>3703</w:t>
            </w:r>
          </w:p>
        </w:tc>
        <w:tc>
          <w:tcPr>
            <w:tcW w:w="5836" w:type="dxa"/>
            <w:tcBorders>
              <w:top w:val="single" w:sz="4" w:space="0" w:color="000000"/>
              <w:start w:val="single" w:sz="4" w:space="0" w:color="000000"/>
              <w:bottom w:val="double" w:sz="4" w:space="0" w:color="000000"/>
              <w:end w:val="double" w:sz="4" w:space="0" w:color="000000"/>
            </w:tcBorders>
          </w:tcPr>
          <w:p>
            <w:pPr>
              <w:pStyle w:val="Normal"/>
              <w:rPr>
                <w:sz w:val="22"/>
                <w:szCs w:val="22"/>
              </w:rPr>
            </w:pPr>
            <w:r>
              <w:rPr>
                <w:rFonts w:cs="Arial"/>
                <w:sz w:val="22"/>
                <w:szCs w:val="22"/>
                <w:lang w:val="el-GR" w:eastAsia="el-GR"/>
              </w:rPr>
              <w:t>ΟΔΗΓΟΣ</w:t>
            </w:r>
          </w:p>
        </w:tc>
      </w:tr>
    </w:tbl>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tbl>
      <w:tblPr>
        <w:tblW w:w="8441" w:type="dxa"/>
        <w:jc w:val="center"/>
        <w:tblInd w:w="0" w:type="dxa"/>
        <w:tblLayout w:type="fixed"/>
        <w:tblCellMar>
          <w:top w:w="0" w:type="dxa"/>
          <w:start w:w="108" w:type="dxa"/>
          <w:bottom w:w="0" w:type="dxa"/>
          <w:end w:w="108" w:type="dxa"/>
        </w:tblCellMar>
      </w:tblPr>
      <w:tblGrid>
        <w:gridCol w:w="2604"/>
        <w:gridCol w:w="5836"/>
      </w:tblGrid>
      <w:tr>
        <w:trPr/>
        <w:tc>
          <w:tcPr>
            <w:tcW w:w="8440" w:type="dxa"/>
            <w:gridSpan w:val="2"/>
            <w:tcBorders>
              <w:top w:val="double" w:sz="4" w:space="0" w:color="000000"/>
              <w:start w:val="double" w:sz="4" w:space="0" w:color="000000"/>
              <w:bottom w:val="single" w:sz="4" w:space="0" w:color="000000"/>
              <w:end w:val="double" w:sz="4" w:space="0" w:color="000000"/>
            </w:tcBorders>
          </w:tcPr>
          <w:p>
            <w:pPr>
              <w:pStyle w:val="Normal"/>
              <w:jc w:val="center"/>
              <w:rPr>
                <w:sz w:val="22"/>
                <w:szCs w:val="22"/>
              </w:rPr>
            </w:pPr>
            <w:r>
              <w:rPr>
                <w:rFonts w:cs="Arial"/>
                <w:b/>
                <w:sz w:val="22"/>
                <w:szCs w:val="22"/>
                <w:lang w:val="el-GR"/>
              </w:rPr>
              <w:t xml:space="preserve">ΠΙΝΑΚΑΣ </w:t>
            </w:r>
            <w:r>
              <w:rPr>
                <w:rFonts w:cs="Arial"/>
                <w:b/>
                <w:sz w:val="22"/>
                <w:szCs w:val="22"/>
                <w:lang w:val="en-US"/>
              </w:rPr>
              <w:t>V</w:t>
            </w:r>
          </w:p>
          <w:p>
            <w:pPr>
              <w:pStyle w:val="Normal"/>
              <w:jc w:val="center"/>
              <w:rPr>
                <w:sz w:val="22"/>
                <w:szCs w:val="22"/>
              </w:rPr>
            </w:pPr>
            <w:r>
              <w:rPr>
                <w:rFonts w:cs="Arial"/>
                <w:b/>
                <w:sz w:val="22"/>
                <w:szCs w:val="22"/>
                <w:lang w:val="el-GR"/>
              </w:rPr>
              <w:t>ΤΑΞΙΝΟΜΗΣΗ  ΔΙΑΚΡΙΤΙΚΩΝ ΒΑΘΜΩΝ &amp; ΕΙΔΙΚΟΤΗΤΩΝ</w:t>
            </w:r>
          </w:p>
          <w:p>
            <w:pPr>
              <w:pStyle w:val="Normal"/>
              <w:jc w:val="center"/>
              <w:rPr>
                <w:lang w:val="el-GR"/>
              </w:rPr>
            </w:pPr>
            <w:r>
              <w:rPr>
                <w:rFonts w:cs="Arial"/>
                <w:b/>
                <w:sz w:val="22"/>
                <w:szCs w:val="22"/>
                <w:lang w:val="el-GR"/>
              </w:rPr>
              <w:t>ΔΙΟΠΩΝ (ΣΤΡΑΤΕΥΜΕΝΗΣ ΘΗΤΕΙΑΣ)</w:t>
            </w:r>
          </w:p>
        </w:tc>
      </w:tr>
      <w:tr>
        <w:trPr>
          <w:trHeight w:val="395" w:hRule="atLeast"/>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b/>
                <w:sz w:val="22"/>
                <w:szCs w:val="22"/>
                <w:lang w:val="el-GR"/>
              </w:rPr>
              <w:t>ΝΑΥΤΙΚΟΣ ΑΡΙΘΜΟΣ ΤΑΞΙΝΟΜΗΣΗΣ (ΝΑΤ)</w:t>
            </w:r>
          </w:p>
        </w:tc>
        <w:tc>
          <w:tcPr>
            <w:tcW w:w="5836" w:type="dxa"/>
            <w:tcBorders>
              <w:top w:val="single" w:sz="4" w:space="0" w:color="000000"/>
              <w:start w:val="single" w:sz="4" w:space="0" w:color="000000"/>
              <w:bottom w:val="single" w:sz="4" w:space="0" w:color="000000"/>
              <w:end w:val="double" w:sz="4" w:space="0" w:color="000000"/>
            </w:tcBorders>
          </w:tcPr>
          <w:p>
            <w:pPr>
              <w:pStyle w:val="Normal"/>
              <w:jc w:val="center"/>
              <w:rPr>
                <w:sz w:val="22"/>
                <w:szCs w:val="22"/>
              </w:rPr>
            </w:pPr>
            <w:r>
              <w:rPr>
                <w:rFonts w:cs="Arial"/>
                <w:b/>
                <w:sz w:val="22"/>
                <w:szCs w:val="22"/>
                <w:lang w:val="el-GR"/>
              </w:rPr>
              <w:t>ΠΕΡΙΓΡΑΦΗ</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3704</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ΑΡΜΕΝΙΣΤΗΣ (ΑΡΜ)</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3705</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ΔΙΑΧΕΙΡΙΣΤΗΣ (ΔΙΑΧ)</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3706</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ΔΙΟΙΚΗΤΙΚΗΣ ΥΠΟΣΤΗΡΙΞΗΣ (Δ/ΥΠ)</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3707</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ΕΠΙΧΕΙΡΗΣΕΩΝ /  ΕΠΙΚΟΙΝΩΝΙΩΝ (Ε/Ε)</w:t>
            </w:r>
          </w:p>
        </w:tc>
      </w:tr>
      <w:tr>
        <w:trPr/>
        <w:tc>
          <w:tcPr>
            <w:tcW w:w="2604" w:type="dxa"/>
            <w:tcBorders>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3708</w:t>
            </w:r>
          </w:p>
        </w:tc>
        <w:tc>
          <w:tcPr>
            <w:tcW w:w="5836" w:type="dxa"/>
            <w:tcBorders>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ΕΣΧΑΡΕΑΣ (ΕΣΧ)</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3709</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ΗΛΕΚΤΡΟΛΟΓΟΣ (Η/Λ)</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3710</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ΗΛΕΚΤΡΟΝΙΚΩΝ ΥΠΟΛΟΓΙΣΤΩΝ ΚΑΙ ΔΙΚΤΥΩΝ (ΗΥ/Δ)</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3711</w:t>
            </w:r>
          </w:p>
        </w:tc>
        <w:tc>
          <w:tcPr>
            <w:tcW w:w="5836" w:type="dxa"/>
            <w:tcBorders>
              <w:top w:val="single" w:sz="4" w:space="0" w:color="000000"/>
              <w:start w:val="single" w:sz="4" w:space="0" w:color="000000"/>
              <w:bottom w:val="single" w:sz="4" w:space="0" w:color="000000"/>
              <w:end w:val="double" w:sz="4" w:space="0" w:color="000000"/>
            </w:tcBorders>
          </w:tcPr>
          <w:p>
            <w:pPr>
              <w:pStyle w:val="Normal"/>
              <w:snapToGrid w:val="false"/>
              <w:rPr>
                <w:sz w:val="22"/>
                <w:szCs w:val="22"/>
              </w:rPr>
            </w:pPr>
            <w:r>
              <w:rPr>
                <w:rFonts w:cs="Arial"/>
                <w:sz w:val="22"/>
                <w:szCs w:val="22"/>
                <w:lang w:val="el-GR" w:eastAsia="el-GR"/>
              </w:rPr>
              <w:t>ΜΟΥΣΙΚΟΣ (ΜΟΥΣ)</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3712</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ΣΧΕΔΙΑΣΤΗΣ (ΣΧΕΔ)</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3713</w:t>
            </w:r>
          </w:p>
        </w:tc>
        <w:tc>
          <w:tcPr>
            <w:tcW w:w="5836" w:type="dxa"/>
            <w:tcBorders>
              <w:top w:val="single" w:sz="4" w:space="0" w:color="000000"/>
              <w:start w:val="single" w:sz="4" w:space="0" w:color="000000"/>
              <w:bottom w:val="single" w:sz="4" w:space="0" w:color="000000"/>
              <w:end w:val="double" w:sz="4" w:space="0" w:color="000000"/>
            </w:tcBorders>
          </w:tcPr>
          <w:p>
            <w:pPr>
              <w:pStyle w:val="Normal"/>
              <w:snapToGrid w:val="false"/>
              <w:rPr>
                <w:sz w:val="22"/>
                <w:szCs w:val="22"/>
              </w:rPr>
            </w:pPr>
            <w:r>
              <w:rPr>
                <w:rFonts w:cs="Arial"/>
                <w:sz w:val="22"/>
                <w:szCs w:val="22"/>
                <w:lang w:val="el-GR" w:eastAsia="el-GR"/>
              </w:rPr>
              <w:t>ΤΕΧΝΙΚΟΣ ΗΛΕΚΤΡΟΝΙΚΩΝ ΣΥΣΤΗΜΑΤΩΝ (Τ/ΗΝ)</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3714</w:t>
            </w:r>
          </w:p>
        </w:tc>
        <w:tc>
          <w:tcPr>
            <w:tcW w:w="5836" w:type="dxa"/>
            <w:tcBorders>
              <w:top w:val="single" w:sz="4" w:space="0" w:color="000000"/>
              <w:start w:val="single" w:sz="4" w:space="0" w:color="000000"/>
              <w:bottom w:val="single" w:sz="4" w:space="0" w:color="000000"/>
              <w:end w:val="double" w:sz="4" w:space="0" w:color="000000"/>
            </w:tcBorders>
          </w:tcPr>
          <w:p>
            <w:pPr>
              <w:pStyle w:val="Normal"/>
              <w:snapToGrid w:val="false"/>
              <w:rPr>
                <w:sz w:val="22"/>
                <w:szCs w:val="22"/>
              </w:rPr>
            </w:pPr>
            <w:r>
              <w:rPr>
                <w:rFonts w:cs="Arial"/>
                <w:sz w:val="22"/>
                <w:szCs w:val="22"/>
                <w:lang w:val="el-GR" w:eastAsia="el-GR"/>
              </w:rPr>
              <w:t>ΤΕΧΝΙΚΟΣ ΜΗΧΑΝΟΛΟΓΙΚΩΝ ΣΥΣΤΗΜΑΤΩΝ (Τ/ΜΗΧ)</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3715</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ΤΕΧΝΙΚΟΣ ΣΥΝΕΡΓΕΙΩΝ (Τ/ΣΥΝ)</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3716</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ΤΕΧΝΙΤΗΣ ΟΠΛΩΝ (Τ/ΟΠΛ)</w:t>
            </w:r>
          </w:p>
        </w:tc>
      </w:tr>
      <w:tr>
        <w:trPr/>
        <w:tc>
          <w:tcPr>
            <w:tcW w:w="2604" w:type="dxa"/>
            <w:tcBorders>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3717</w:t>
            </w:r>
          </w:p>
        </w:tc>
        <w:tc>
          <w:tcPr>
            <w:tcW w:w="5836" w:type="dxa"/>
            <w:tcBorders>
              <w:start w:val="single" w:sz="4" w:space="0" w:color="000000"/>
              <w:bottom w:val="single" w:sz="4" w:space="0" w:color="000000"/>
              <w:end w:val="double" w:sz="4" w:space="0" w:color="000000"/>
            </w:tcBorders>
          </w:tcPr>
          <w:p>
            <w:pPr>
              <w:pStyle w:val="Normal"/>
              <w:rPr>
                <w:sz w:val="22"/>
                <w:szCs w:val="22"/>
              </w:rPr>
            </w:pPr>
            <w:r>
              <w:rPr>
                <w:sz w:val="22"/>
                <w:szCs w:val="22"/>
              </w:rPr>
              <w:t>ΒΟΗΘΟΣ ΝΟΣΗΛΕΥΤΙΚΗΣ (Β/ΝΟΣ)</w:t>
            </w:r>
          </w:p>
        </w:tc>
      </w:tr>
      <w:tr>
        <w:trPr/>
        <w:tc>
          <w:tcPr>
            <w:tcW w:w="2604" w:type="dxa"/>
            <w:tcBorders>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3718</w:t>
            </w:r>
          </w:p>
        </w:tc>
        <w:tc>
          <w:tcPr>
            <w:tcW w:w="5836" w:type="dxa"/>
            <w:tcBorders>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ΦΥΣΙΚΟΘΕΡΑΠΕΥΤΗΣ (ΦΥΣ/Θ)</w:t>
            </w:r>
          </w:p>
        </w:tc>
      </w:tr>
      <w:tr>
        <w:trPr/>
        <w:tc>
          <w:tcPr>
            <w:tcW w:w="2604" w:type="dxa"/>
            <w:tcBorders>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3719</w:t>
            </w:r>
          </w:p>
        </w:tc>
        <w:tc>
          <w:tcPr>
            <w:tcW w:w="5836" w:type="dxa"/>
            <w:tcBorders>
              <w:start w:val="single" w:sz="4" w:space="0" w:color="000000"/>
              <w:bottom w:val="single" w:sz="4" w:space="0" w:color="000000"/>
              <w:end w:val="double" w:sz="4" w:space="0" w:color="000000"/>
            </w:tcBorders>
          </w:tcPr>
          <w:p>
            <w:pPr>
              <w:pStyle w:val="Normal"/>
              <w:rPr>
                <w:sz w:val="22"/>
                <w:szCs w:val="22"/>
                <w:lang w:val="el-GR"/>
              </w:rPr>
            </w:pPr>
            <w:r>
              <w:rPr>
                <w:sz w:val="22"/>
                <w:szCs w:val="22"/>
                <w:lang w:val="el-GR"/>
              </w:rPr>
              <w:t>ΙΑΤΡΟΣ – ΟΔΟΝΤΙΑΤΡΟΣ</w:t>
            </w:r>
          </w:p>
        </w:tc>
      </w:tr>
      <w:tr>
        <w:trPr/>
        <w:tc>
          <w:tcPr>
            <w:tcW w:w="2604" w:type="dxa"/>
            <w:tcBorders>
              <w:top w:val="single" w:sz="4" w:space="0" w:color="000000"/>
              <w:start w:val="double" w:sz="4" w:space="0" w:color="000000"/>
              <w:bottom w:val="double" w:sz="4" w:space="0" w:color="000000"/>
              <w:end w:val="single" w:sz="4" w:space="0" w:color="000000"/>
            </w:tcBorders>
          </w:tcPr>
          <w:p>
            <w:pPr>
              <w:pStyle w:val="Normal"/>
              <w:jc w:val="center"/>
              <w:rPr>
                <w:lang w:val="en-US"/>
              </w:rPr>
            </w:pPr>
            <w:r>
              <w:rPr>
                <w:lang w:val="en-US"/>
              </w:rPr>
              <w:t>8455-NT-BB1-</w:t>
            </w:r>
            <w:r>
              <w:rPr>
                <w:lang w:val="el-GR"/>
              </w:rPr>
              <w:t>3720</w:t>
            </w:r>
          </w:p>
        </w:tc>
        <w:tc>
          <w:tcPr>
            <w:tcW w:w="5836" w:type="dxa"/>
            <w:tcBorders>
              <w:top w:val="single" w:sz="4" w:space="0" w:color="000000"/>
              <w:start w:val="single" w:sz="4" w:space="0" w:color="000000"/>
              <w:bottom w:val="double" w:sz="4" w:space="0" w:color="000000"/>
              <w:end w:val="double" w:sz="4" w:space="0" w:color="000000"/>
            </w:tcBorders>
          </w:tcPr>
          <w:p>
            <w:pPr>
              <w:pStyle w:val="Normal"/>
              <w:rPr>
                <w:sz w:val="22"/>
                <w:szCs w:val="22"/>
              </w:rPr>
            </w:pPr>
            <w:r>
              <w:rPr>
                <w:rFonts w:cs="Arial"/>
                <w:sz w:val="22"/>
                <w:szCs w:val="22"/>
                <w:lang w:val="el-GR" w:eastAsia="el-GR"/>
              </w:rPr>
              <w:t>ΟΔΗΓΟΣ</w:t>
            </w:r>
          </w:p>
        </w:tc>
      </w:tr>
    </w:tbl>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tbl>
      <w:tblPr>
        <w:tblW w:w="8441" w:type="dxa"/>
        <w:jc w:val="center"/>
        <w:tblInd w:w="0" w:type="dxa"/>
        <w:tblLayout w:type="fixed"/>
        <w:tblCellMar>
          <w:top w:w="0" w:type="dxa"/>
          <w:start w:w="108" w:type="dxa"/>
          <w:bottom w:w="0" w:type="dxa"/>
          <w:end w:w="108" w:type="dxa"/>
        </w:tblCellMar>
      </w:tblPr>
      <w:tblGrid>
        <w:gridCol w:w="2604"/>
        <w:gridCol w:w="5836"/>
      </w:tblGrid>
      <w:tr>
        <w:trPr/>
        <w:tc>
          <w:tcPr>
            <w:tcW w:w="8440" w:type="dxa"/>
            <w:gridSpan w:val="2"/>
            <w:tcBorders>
              <w:top w:val="double" w:sz="4" w:space="0" w:color="000000"/>
              <w:start w:val="double" w:sz="4" w:space="0" w:color="000000"/>
              <w:bottom w:val="single" w:sz="4" w:space="0" w:color="000000"/>
              <w:end w:val="double" w:sz="4" w:space="0" w:color="000000"/>
            </w:tcBorders>
          </w:tcPr>
          <w:p>
            <w:pPr>
              <w:pStyle w:val="Normal"/>
              <w:jc w:val="center"/>
              <w:rPr>
                <w:sz w:val="22"/>
                <w:szCs w:val="22"/>
              </w:rPr>
            </w:pPr>
            <w:r>
              <w:rPr>
                <w:rFonts w:cs="Arial"/>
                <w:b/>
                <w:sz w:val="22"/>
                <w:szCs w:val="22"/>
                <w:lang w:val="el-GR"/>
              </w:rPr>
              <w:t>ΠΙΝΑΚΑΣ ΙΙ</w:t>
            </w:r>
            <w:r>
              <w:rPr>
                <w:rFonts w:cs="Arial"/>
                <w:b/>
                <w:sz w:val="22"/>
                <w:szCs w:val="22"/>
                <w:lang w:val="en-US"/>
              </w:rPr>
              <w:t>I</w:t>
            </w:r>
          </w:p>
          <w:p>
            <w:pPr>
              <w:pStyle w:val="Normal"/>
              <w:jc w:val="center"/>
              <w:rPr>
                <w:sz w:val="22"/>
                <w:szCs w:val="22"/>
              </w:rPr>
            </w:pPr>
            <w:r>
              <w:rPr>
                <w:rFonts w:cs="Arial"/>
                <w:b/>
                <w:sz w:val="22"/>
                <w:szCs w:val="22"/>
                <w:lang w:val="el-GR"/>
              </w:rPr>
              <w:t>ΤΑΞΙΝΟΜΗΣΗ  ΔΙΑΚΡΙΤΙΚΩΝ ΒΑΘΜΩΝ &amp; ΕΙΔΙΚΟΤΗΤΩΝ</w:t>
            </w:r>
          </w:p>
          <w:p>
            <w:pPr>
              <w:pStyle w:val="Normal"/>
              <w:jc w:val="center"/>
              <w:rPr>
                <w:lang w:val="el-GR"/>
              </w:rPr>
            </w:pPr>
            <w:r>
              <w:rPr>
                <w:rFonts w:cs="Arial"/>
                <w:b/>
                <w:sz w:val="22"/>
                <w:szCs w:val="22"/>
                <w:lang w:val="el-GR"/>
              </w:rPr>
              <w:t>ΝΑΥΤΩΝ (ΣΤΡΑΤΕΥΜΕΝΗΣ ΘΗΤΕΙΑΣ)</w:t>
            </w:r>
          </w:p>
        </w:tc>
      </w:tr>
      <w:tr>
        <w:trPr>
          <w:trHeight w:val="395" w:hRule="atLeast"/>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sz w:val="22"/>
                <w:szCs w:val="22"/>
              </w:rPr>
            </w:pPr>
            <w:r>
              <w:rPr>
                <w:rFonts w:cs="Arial"/>
                <w:b/>
                <w:sz w:val="22"/>
                <w:szCs w:val="22"/>
                <w:lang w:val="el-GR"/>
              </w:rPr>
              <w:t>ΝΑΥΤΙΚΟΣ ΑΡΙΘΜΟΣ ΤΑΞΙΝΟΜΗΣΗΣ (ΝΑΤ)</w:t>
            </w:r>
          </w:p>
        </w:tc>
        <w:tc>
          <w:tcPr>
            <w:tcW w:w="5836" w:type="dxa"/>
            <w:tcBorders>
              <w:top w:val="single" w:sz="4" w:space="0" w:color="000000"/>
              <w:start w:val="single" w:sz="4" w:space="0" w:color="000000"/>
              <w:bottom w:val="single" w:sz="4" w:space="0" w:color="000000"/>
              <w:end w:val="double" w:sz="4" w:space="0" w:color="000000"/>
            </w:tcBorders>
          </w:tcPr>
          <w:p>
            <w:pPr>
              <w:pStyle w:val="Normal"/>
              <w:jc w:val="center"/>
              <w:rPr>
                <w:sz w:val="22"/>
                <w:szCs w:val="22"/>
              </w:rPr>
            </w:pPr>
            <w:r>
              <w:rPr>
                <w:rFonts w:cs="Arial"/>
                <w:b/>
                <w:sz w:val="22"/>
                <w:szCs w:val="22"/>
                <w:lang w:val="el-GR"/>
              </w:rPr>
              <w:t>ΠΕΡΙΓΡΑΦΗ</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3721</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ΑΡΜΕΝΙΣΤΗΣ (ΑΡΜ)</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3722</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ΔΙΑΧΕΙΡΙΣΤΗΣ (ΔΙΑΧ)</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3723</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ΔΙΟΙΚΗΤΙΚΗΣ ΥΠΟΣΤΗΡΙΞΗΣ (Δ/ΥΠ)</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3724</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ΕΠΙΧΕΙΡΗΣΕΩΝ /  ΕΠΙΚΟΙΝΩΝΙΩΝ (Ε/Ε)</w:t>
            </w:r>
          </w:p>
        </w:tc>
      </w:tr>
      <w:tr>
        <w:trPr/>
        <w:tc>
          <w:tcPr>
            <w:tcW w:w="2604" w:type="dxa"/>
            <w:tcBorders>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3725</w:t>
            </w:r>
          </w:p>
        </w:tc>
        <w:tc>
          <w:tcPr>
            <w:tcW w:w="5836" w:type="dxa"/>
            <w:tcBorders>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ΕΣΧΑΡΕΑΣ (ΕΣΧ)</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3726</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ΗΛΕΚΤΡΟΛΟΓΟΣ (Η/Λ)</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3727</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ΗΛΕΚΤΡΟΝΙΚΩΝ ΥΠΟΛΟΓΙΣΤΩΝ ΚΑΙ ΔΙΚΤΥΩΝ (ΗΥ/Δ)</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3728</w:t>
            </w:r>
          </w:p>
        </w:tc>
        <w:tc>
          <w:tcPr>
            <w:tcW w:w="5836" w:type="dxa"/>
            <w:tcBorders>
              <w:top w:val="single" w:sz="4" w:space="0" w:color="000000"/>
              <w:start w:val="single" w:sz="4" w:space="0" w:color="000000"/>
              <w:bottom w:val="single" w:sz="4" w:space="0" w:color="000000"/>
              <w:end w:val="double" w:sz="4" w:space="0" w:color="000000"/>
            </w:tcBorders>
          </w:tcPr>
          <w:p>
            <w:pPr>
              <w:pStyle w:val="Normal"/>
              <w:snapToGrid w:val="false"/>
              <w:rPr>
                <w:sz w:val="22"/>
                <w:szCs w:val="22"/>
              </w:rPr>
            </w:pPr>
            <w:r>
              <w:rPr>
                <w:rFonts w:cs="Arial"/>
                <w:sz w:val="22"/>
                <w:szCs w:val="22"/>
                <w:lang w:val="el-GR" w:eastAsia="el-GR"/>
              </w:rPr>
              <w:t>ΜΟΥΣΙΚΟΣ (ΜΟΥΣ)</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3729</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ΣΧΕΔΙΑΣΤΗΣ (ΣΧΕΔ)</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3730</w:t>
            </w:r>
          </w:p>
        </w:tc>
        <w:tc>
          <w:tcPr>
            <w:tcW w:w="5836" w:type="dxa"/>
            <w:tcBorders>
              <w:top w:val="single" w:sz="4" w:space="0" w:color="000000"/>
              <w:start w:val="single" w:sz="4" w:space="0" w:color="000000"/>
              <w:bottom w:val="single" w:sz="4" w:space="0" w:color="000000"/>
              <w:end w:val="double" w:sz="4" w:space="0" w:color="000000"/>
            </w:tcBorders>
          </w:tcPr>
          <w:p>
            <w:pPr>
              <w:pStyle w:val="Normal"/>
              <w:snapToGrid w:val="false"/>
              <w:rPr>
                <w:sz w:val="22"/>
                <w:szCs w:val="22"/>
              </w:rPr>
            </w:pPr>
            <w:r>
              <w:rPr>
                <w:rFonts w:cs="Arial"/>
                <w:sz w:val="22"/>
                <w:szCs w:val="22"/>
                <w:lang w:val="el-GR" w:eastAsia="el-GR"/>
              </w:rPr>
              <w:t>ΤΕΧΝΙΚΟΣ ΗΛΕΚΤΡΟΝΙΚΩΝ ΣΥΣΤΗΜΑΤΩΝ (Τ/ΗΝ)</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3731</w:t>
            </w:r>
          </w:p>
        </w:tc>
        <w:tc>
          <w:tcPr>
            <w:tcW w:w="5836" w:type="dxa"/>
            <w:tcBorders>
              <w:top w:val="single" w:sz="4" w:space="0" w:color="000000"/>
              <w:start w:val="single" w:sz="4" w:space="0" w:color="000000"/>
              <w:bottom w:val="single" w:sz="4" w:space="0" w:color="000000"/>
              <w:end w:val="double" w:sz="4" w:space="0" w:color="000000"/>
            </w:tcBorders>
          </w:tcPr>
          <w:p>
            <w:pPr>
              <w:pStyle w:val="Normal"/>
              <w:snapToGrid w:val="false"/>
              <w:rPr>
                <w:sz w:val="22"/>
                <w:szCs w:val="22"/>
              </w:rPr>
            </w:pPr>
            <w:r>
              <w:rPr>
                <w:rFonts w:cs="Arial"/>
                <w:sz w:val="22"/>
                <w:szCs w:val="22"/>
                <w:lang w:val="el-GR" w:eastAsia="el-GR"/>
              </w:rPr>
              <w:t>ΤΕΧΝΙΚΟΣ ΜΗΧΑΝΟΛΟΓΙΚΩΝ ΣΥΣΤΗΜΑΤΩΝ (Τ/ΜΗΧ)</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3732</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ΤΕΧΝΙΚΟΣ ΣΥΝΕΡΓΕΙΩΝ (Τ/ΣΥΝ)</w:t>
            </w:r>
          </w:p>
        </w:tc>
      </w:tr>
      <w:tr>
        <w:trPr/>
        <w:tc>
          <w:tcPr>
            <w:tcW w:w="2604" w:type="dxa"/>
            <w:tcBorders>
              <w:top w:val="single" w:sz="4" w:space="0" w:color="000000"/>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3733</w:t>
            </w:r>
          </w:p>
        </w:tc>
        <w:tc>
          <w:tcPr>
            <w:tcW w:w="5836" w:type="dxa"/>
            <w:tcBorders>
              <w:top w:val="single" w:sz="4" w:space="0" w:color="000000"/>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ΤΕΧΝΙΤΗΣ ΟΠΛΩΝ (Τ/ΟΠΛ)</w:t>
            </w:r>
          </w:p>
        </w:tc>
      </w:tr>
      <w:tr>
        <w:trPr/>
        <w:tc>
          <w:tcPr>
            <w:tcW w:w="2604" w:type="dxa"/>
            <w:tcBorders>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3734</w:t>
            </w:r>
          </w:p>
        </w:tc>
        <w:tc>
          <w:tcPr>
            <w:tcW w:w="5836" w:type="dxa"/>
            <w:tcBorders>
              <w:start w:val="single" w:sz="4" w:space="0" w:color="000000"/>
              <w:bottom w:val="single" w:sz="4" w:space="0" w:color="000000"/>
              <w:end w:val="double" w:sz="4" w:space="0" w:color="000000"/>
            </w:tcBorders>
          </w:tcPr>
          <w:p>
            <w:pPr>
              <w:pStyle w:val="Normal"/>
              <w:rPr>
                <w:sz w:val="22"/>
                <w:szCs w:val="22"/>
              </w:rPr>
            </w:pPr>
            <w:r>
              <w:rPr>
                <w:sz w:val="22"/>
                <w:szCs w:val="22"/>
              </w:rPr>
              <w:t>ΒΟΗΘΟΣ ΝΟΣΗΛΕΥΤΙΚΗΣ (Β/ΝΟΣ)</w:t>
            </w:r>
          </w:p>
        </w:tc>
      </w:tr>
      <w:tr>
        <w:trPr/>
        <w:tc>
          <w:tcPr>
            <w:tcW w:w="2604" w:type="dxa"/>
            <w:tcBorders>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3735</w:t>
            </w:r>
          </w:p>
        </w:tc>
        <w:tc>
          <w:tcPr>
            <w:tcW w:w="5836" w:type="dxa"/>
            <w:tcBorders>
              <w:start w:val="single" w:sz="4" w:space="0" w:color="000000"/>
              <w:bottom w:val="single" w:sz="4" w:space="0" w:color="000000"/>
              <w:end w:val="double" w:sz="4" w:space="0" w:color="000000"/>
            </w:tcBorders>
          </w:tcPr>
          <w:p>
            <w:pPr>
              <w:pStyle w:val="Normal"/>
              <w:rPr>
                <w:sz w:val="22"/>
                <w:szCs w:val="22"/>
              </w:rPr>
            </w:pPr>
            <w:r>
              <w:rPr>
                <w:rFonts w:cs="Arial"/>
                <w:sz w:val="22"/>
                <w:szCs w:val="22"/>
                <w:lang w:val="el-GR" w:eastAsia="el-GR"/>
              </w:rPr>
              <w:t>ΦΥΣΙΚΟΘΕΡΑΠΕΥΤΗΣ (ΦΥΣ/Θ)</w:t>
            </w:r>
          </w:p>
        </w:tc>
      </w:tr>
      <w:tr>
        <w:trPr/>
        <w:tc>
          <w:tcPr>
            <w:tcW w:w="2604" w:type="dxa"/>
            <w:tcBorders>
              <w:start w:val="double" w:sz="4" w:space="0" w:color="000000"/>
              <w:bottom w:val="single" w:sz="4" w:space="0" w:color="000000"/>
              <w:end w:val="single" w:sz="4" w:space="0" w:color="000000"/>
            </w:tcBorders>
          </w:tcPr>
          <w:p>
            <w:pPr>
              <w:pStyle w:val="Normal"/>
              <w:jc w:val="center"/>
              <w:rPr>
                <w:lang w:val="en-US"/>
              </w:rPr>
            </w:pPr>
            <w:r>
              <w:rPr>
                <w:lang w:val="en-US"/>
              </w:rPr>
              <w:t>8455-NT-BB1-</w:t>
            </w:r>
            <w:r>
              <w:rPr>
                <w:lang w:val="el-GR"/>
              </w:rPr>
              <w:t>3736</w:t>
            </w:r>
          </w:p>
        </w:tc>
        <w:tc>
          <w:tcPr>
            <w:tcW w:w="5836" w:type="dxa"/>
            <w:tcBorders>
              <w:start w:val="single" w:sz="4" w:space="0" w:color="000000"/>
              <w:bottom w:val="single" w:sz="4" w:space="0" w:color="000000"/>
              <w:end w:val="double" w:sz="4" w:space="0" w:color="000000"/>
            </w:tcBorders>
          </w:tcPr>
          <w:p>
            <w:pPr>
              <w:pStyle w:val="Normal"/>
              <w:rPr>
                <w:sz w:val="22"/>
                <w:szCs w:val="22"/>
                <w:lang w:val="el-GR"/>
              </w:rPr>
            </w:pPr>
            <w:r>
              <w:rPr>
                <w:sz w:val="22"/>
                <w:szCs w:val="22"/>
                <w:lang w:val="el-GR"/>
              </w:rPr>
              <w:t>ΙΑΤΡΟΣ – ΟΔΟΝΤΙΑΤΡΟΣ</w:t>
            </w:r>
          </w:p>
        </w:tc>
      </w:tr>
      <w:tr>
        <w:trPr/>
        <w:tc>
          <w:tcPr>
            <w:tcW w:w="2604" w:type="dxa"/>
            <w:tcBorders>
              <w:top w:val="single" w:sz="4" w:space="0" w:color="000000"/>
              <w:start w:val="double" w:sz="4" w:space="0" w:color="000000"/>
              <w:bottom w:val="double" w:sz="4" w:space="0" w:color="000000"/>
              <w:end w:val="single" w:sz="4" w:space="0" w:color="000000"/>
            </w:tcBorders>
          </w:tcPr>
          <w:p>
            <w:pPr>
              <w:pStyle w:val="Normal"/>
              <w:jc w:val="center"/>
              <w:rPr>
                <w:lang w:val="en-US"/>
              </w:rPr>
            </w:pPr>
            <w:r>
              <w:rPr>
                <w:lang w:val="en-US"/>
              </w:rPr>
              <w:t>8455-NT-BB1-</w:t>
            </w:r>
            <w:r>
              <w:rPr>
                <w:lang w:val="el-GR"/>
              </w:rPr>
              <w:t>3737</w:t>
            </w:r>
          </w:p>
        </w:tc>
        <w:tc>
          <w:tcPr>
            <w:tcW w:w="5836" w:type="dxa"/>
            <w:tcBorders>
              <w:top w:val="single" w:sz="4" w:space="0" w:color="000000"/>
              <w:start w:val="single" w:sz="4" w:space="0" w:color="000000"/>
              <w:bottom w:val="double" w:sz="4" w:space="0" w:color="000000"/>
              <w:end w:val="double" w:sz="4" w:space="0" w:color="000000"/>
            </w:tcBorders>
          </w:tcPr>
          <w:p>
            <w:pPr>
              <w:pStyle w:val="Normal"/>
              <w:rPr>
                <w:sz w:val="22"/>
                <w:szCs w:val="22"/>
              </w:rPr>
            </w:pPr>
            <w:r>
              <w:rPr>
                <w:rFonts w:cs="Arial"/>
                <w:sz w:val="22"/>
                <w:szCs w:val="22"/>
                <w:lang w:val="el-GR" w:eastAsia="el-GR"/>
              </w:rPr>
              <w:t>ΟΔΗΓΟΣ</w:t>
            </w:r>
          </w:p>
        </w:tc>
      </w:tr>
    </w:tbl>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p>
      <w:pPr>
        <w:pStyle w:val="Normal"/>
        <w:rPr>
          <w:rFonts w:cs="Arial"/>
          <w:b/>
          <w:sz w:val="24"/>
          <w:szCs w:val="24"/>
          <w:lang w:val="el-GR"/>
        </w:rPr>
      </w:pPr>
      <w:r>
        <w:rPr>
          <w:rFonts w:cs="Arial"/>
          <w:b/>
          <w:sz w:val="24"/>
          <w:szCs w:val="24"/>
          <w:lang w:val="el-GR"/>
        </w:rPr>
      </w:r>
    </w:p>
    <w:tbl>
      <w:tblPr>
        <w:tblW w:w="9299" w:type="dxa"/>
        <w:jc w:val="center"/>
        <w:tblInd w:w="0" w:type="dxa"/>
        <w:tblLayout w:type="fixed"/>
        <w:tblCellMar>
          <w:top w:w="0" w:type="dxa"/>
          <w:start w:w="108" w:type="dxa"/>
          <w:bottom w:w="0" w:type="dxa"/>
          <w:end w:w="108" w:type="dxa"/>
        </w:tblCellMar>
      </w:tblPr>
      <w:tblGrid>
        <w:gridCol w:w="3373"/>
        <w:gridCol w:w="5925"/>
      </w:tblGrid>
      <w:tr>
        <w:trPr/>
        <w:tc>
          <w:tcPr>
            <w:tcW w:w="9298" w:type="dxa"/>
            <w:gridSpan w:val="2"/>
            <w:tcBorders/>
          </w:tcPr>
          <w:p>
            <w:pPr>
              <w:pStyle w:val="Normal"/>
              <w:jc w:val="center"/>
              <w:rPr>
                <w:sz w:val="24"/>
                <w:szCs w:val="24"/>
              </w:rPr>
            </w:pPr>
            <w:r>
              <w:rPr>
                <w:sz w:val="24"/>
                <w:szCs w:val="24"/>
              </w:rPr>
              <w:t>ΕΓΚΡΙΣΗ ΤΕΧΝΙΚΗΣ ΠΡΟΔΙΑΓΡΑΦΗΣ</w:t>
            </w:r>
          </w:p>
          <w:p>
            <w:pPr>
              <w:pStyle w:val="Normal"/>
              <w:jc w:val="center"/>
              <w:rPr>
                <w:sz w:val="24"/>
                <w:szCs w:val="24"/>
              </w:rPr>
            </w:pPr>
            <w:r>
              <w:rPr>
                <w:sz w:val="24"/>
                <w:szCs w:val="24"/>
              </w:rPr>
              <w:t>ΠΟΛΕΜΙΚΟ ΝΑΥΤΙΚΟ - ΚΕΦΝ</w:t>
            </w:r>
          </w:p>
          <w:p>
            <w:pPr>
              <w:pStyle w:val="Normal"/>
              <w:jc w:val="center"/>
              <w:rPr>
                <w:sz w:val="24"/>
                <w:szCs w:val="24"/>
                <w:u w:val="single"/>
              </w:rPr>
            </w:pPr>
            <w:r>
              <w:rPr>
                <w:sz w:val="24"/>
                <w:szCs w:val="24"/>
                <w:u w:val="single"/>
              </w:rPr>
            </w:r>
          </w:p>
          <w:p>
            <w:pPr>
              <w:pStyle w:val="Normal"/>
              <w:jc w:val="center"/>
              <w:rPr>
                <w:sz w:val="24"/>
                <w:szCs w:val="24"/>
                <w:u w:val="single"/>
              </w:rPr>
            </w:pPr>
            <w:r>
              <w:rPr>
                <w:sz w:val="24"/>
                <w:szCs w:val="24"/>
                <w:u w:val="single"/>
              </w:rPr>
              <w:t xml:space="preserve">ΠΕΔ-Α-016    </w:t>
            </w:r>
            <w:r>
              <w:rPr>
                <w:sz w:val="8"/>
                <w:szCs w:val="8"/>
                <w:u w:val="single"/>
              </w:rPr>
              <w:t>.</w:t>
            </w:r>
          </w:p>
          <w:p>
            <w:pPr>
              <w:pStyle w:val="Normal"/>
              <w:jc w:val="center"/>
              <w:rPr>
                <w:sz w:val="24"/>
                <w:szCs w:val="24"/>
              </w:rPr>
            </w:pPr>
            <w:r>
              <w:rPr>
                <w:sz w:val="24"/>
                <w:szCs w:val="24"/>
              </w:rPr>
            </w:r>
          </w:p>
          <w:p>
            <w:pPr>
              <w:pStyle w:val="Normal"/>
              <w:jc w:val="center"/>
              <w:rPr>
                <w:sz w:val="24"/>
                <w:szCs w:val="24"/>
              </w:rPr>
            </w:pPr>
            <w:r>
              <w:rPr>
                <w:sz w:val="24"/>
                <w:szCs w:val="24"/>
                <w:u w:val="single"/>
              </w:rPr>
              <w:t>ΕΚΔΟΣΗ 1</w:t>
            </w:r>
            <w:r>
              <w:rPr>
                <w:sz w:val="24"/>
                <w:szCs w:val="24"/>
                <w:u w:val="single"/>
                <w:vertAlign w:val="superscript"/>
              </w:rPr>
              <w:t>η</w:t>
            </w:r>
          </w:p>
          <w:p>
            <w:pPr>
              <w:pStyle w:val="Normal"/>
              <w:jc w:val="center"/>
              <w:rPr>
                <w:sz w:val="24"/>
                <w:szCs w:val="24"/>
              </w:rPr>
            </w:pPr>
            <w:r>
              <w:rPr>
                <w:sz w:val="24"/>
                <w:szCs w:val="24"/>
              </w:rPr>
            </w:r>
          </w:p>
        </w:tc>
      </w:tr>
      <w:tr>
        <w:trPr/>
        <w:tc>
          <w:tcPr>
            <w:tcW w:w="3373" w:type="dxa"/>
            <w:tcBorders/>
          </w:tcPr>
          <w:p>
            <w:pPr>
              <w:pStyle w:val="Normal"/>
              <w:jc w:val="center"/>
              <w:rPr>
                <w:sz w:val="24"/>
                <w:szCs w:val="24"/>
              </w:rPr>
            </w:pPr>
            <w:r>
              <w:rPr>
                <w:sz w:val="24"/>
                <w:szCs w:val="24"/>
              </w:rPr>
              <w:t>ΣΥΝΤΑΞΗ</w:t>
            </w:r>
          </w:p>
        </w:tc>
        <w:tc>
          <w:tcPr>
            <w:tcW w:w="5925" w:type="dxa"/>
            <w:tcBorders/>
          </w:tcPr>
          <w:p>
            <w:pPr>
              <w:pStyle w:val="Normal"/>
              <w:snapToGrid w:val="false"/>
              <w:jc w:val="center"/>
              <w:rPr>
                <w:sz w:val="24"/>
                <w:szCs w:val="24"/>
              </w:rPr>
            </w:pPr>
            <w:r>
              <w:rPr>
                <w:sz w:val="24"/>
                <w:szCs w:val="24"/>
              </w:rPr>
            </w:r>
          </w:p>
          <w:p>
            <w:pPr>
              <w:pStyle w:val="Normal"/>
              <w:snapToGrid w:val="false"/>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t>ΜΠΥ Α΄ βαθμ. Αντώνης Καλακώνας</w:t>
            </w:r>
          </w:p>
          <w:p>
            <w:pPr>
              <w:pStyle w:val="Normal"/>
              <w:jc w:val="center"/>
              <w:rPr>
                <w:sz w:val="24"/>
                <w:szCs w:val="24"/>
              </w:rPr>
            </w:pPr>
            <w:r>
              <w:rPr>
                <w:rFonts w:eastAsia="Arial"/>
                <w:sz w:val="24"/>
                <w:szCs w:val="24"/>
              </w:rPr>
              <w:t xml:space="preserve"> </w:t>
            </w:r>
            <w:r>
              <w:rPr>
                <w:sz w:val="24"/>
                <w:szCs w:val="24"/>
              </w:rPr>
              <w:t>Κλωστοϋφαντουργός Μηχανικός</w:t>
            </w:r>
          </w:p>
          <w:p>
            <w:pPr>
              <w:pStyle w:val="Normal"/>
              <w:jc w:val="center"/>
              <w:rPr>
                <w:sz w:val="24"/>
                <w:szCs w:val="24"/>
              </w:rPr>
            </w:pPr>
            <w:r>
              <w:rPr>
                <w:sz w:val="24"/>
                <w:szCs w:val="24"/>
              </w:rPr>
            </w:r>
          </w:p>
        </w:tc>
      </w:tr>
      <w:tr>
        <w:trPr/>
        <w:tc>
          <w:tcPr>
            <w:tcW w:w="3373" w:type="dxa"/>
            <w:tcBorders/>
          </w:tcPr>
          <w:p>
            <w:pPr>
              <w:pStyle w:val="Normal"/>
              <w:jc w:val="center"/>
              <w:rPr>
                <w:sz w:val="24"/>
                <w:szCs w:val="24"/>
              </w:rPr>
            </w:pPr>
            <w:r>
              <w:rPr>
                <w:sz w:val="24"/>
                <w:szCs w:val="24"/>
              </w:rPr>
              <w:t>ΕΛΕΓΧΟΣ</w:t>
            </w:r>
          </w:p>
        </w:tc>
        <w:tc>
          <w:tcPr>
            <w:tcW w:w="5925" w:type="dxa"/>
            <w:tcBorders/>
          </w:tcPr>
          <w:p>
            <w:pPr>
              <w:pStyle w:val="Normal"/>
              <w:jc w:val="center"/>
              <w:rPr>
                <w:sz w:val="24"/>
                <w:szCs w:val="24"/>
              </w:rPr>
            </w:pPr>
            <w:r>
              <w:rPr>
                <w:sz w:val="24"/>
                <w:szCs w:val="24"/>
              </w:rPr>
              <w:t>Ο  Τμηματάρχης Τμήματος Προδιαγραφών (1270)</w:t>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t>ΜΠΥ Α΄ βαθμ. Αντώνης Καλακώνας</w:t>
            </w:r>
          </w:p>
          <w:p>
            <w:pPr>
              <w:pStyle w:val="Normal"/>
              <w:jc w:val="center"/>
              <w:rPr>
                <w:sz w:val="24"/>
                <w:szCs w:val="24"/>
              </w:rPr>
            </w:pPr>
            <w:r>
              <w:rPr>
                <w:rFonts w:eastAsia="Arial"/>
                <w:sz w:val="24"/>
                <w:szCs w:val="24"/>
              </w:rPr>
              <w:t xml:space="preserve"> </w:t>
            </w:r>
            <w:r>
              <w:rPr>
                <w:sz w:val="24"/>
                <w:szCs w:val="24"/>
              </w:rPr>
              <w:t>Κλωστοϋφαντουργός Μηχανικός</w:t>
            </w:r>
          </w:p>
          <w:p>
            <w:pPr>
              <w:pStyle w:val="Normal"/>
              <w:jc w:val="center"/>
              <w:rPr>
                <w:sz w:val="20"/>
                <w:szCs w:val="20"/>
              </w:rPr>
            </w:pPr>
            <w:r>
              <w:rPr>
                <w:sz w:val="20"/>
                <w:szCs w:val="20"/>
              </w:rPr>
            </w:r>
          </w:p>
        </w:tc>
      </w:tr>
      <w:tr>
        <w:trPr/>
        <w:tc>
          <w:tcPr>
            <w:tcW w:w="3373" w:type="dxa"/>
            <w:tcBorders/>
          </w:tcPr>
          <w:p>
            <w:pPr>
              <w:pStyle w:val="Normal"/>
              <w:jc w:val="center"/>
              <w:rPr>
                <w:sz w:val="24"/>
                <w:szCs w:val="24"/>
              </w:rPr>
            </w:pPr>
            <w:r>
              <w:rPr>
                <w:sz w:val="24"/>
                <w:szCs w:val="24"/>
              </w:rPr>
              <w:t>Ε.Γ.</w:t>
            </w:r>
          </w:p>
        </w:tc>
        <w:tc>
          <w:tcPr>
            <w:tcW w:w="5925" w:type="dxa"/>
            <w:tcBorders/>
          </w:tcPr>
          <w:p>
            <w:pPr>
              <w:pStyle w:val="Normal"/>
              <w:jc w:val="center"/>
              <w:rPr>
                <w:sz w:val="24"/>
                <w:szCs w:val="24"/>
              </w:rPr>
            </w:pPr>
            <w:r>
              <w:rPr>
                <w:sz w:val="24"/>
                <w:szCs w:val="24"/>
                <w:lang w:val="en-US"/>
              </w:rPr>
              <w:t>O</w:t>
            </w:r>
            <w:r>
              <w:rPr>
                <w:sz w:val="24"/>
                <w:szCs w:val="24"/>
              </w:rPr>
              <w:t xml:space="preserve"> Διευθυντής</w:t>
            </w:r>
          </w:p>
          <w:p>
            <w:pPr>
              <w:pStyle w:val="Normal"/>
              <w:jc w:val="center"/>
              <w:rPr>
                <w:sz w:val="24"/>
                <w:szCs w:val="24"/>
              </w:rPr>
            </w:pPr>
            <w:r>
              <w:rPr>
                <w:sz w:val="24"/>
                <w:szCs w:val="24"/>
              </w:rPr>
              <w:t>Διεύθυνσης Ελέγχου &amp; Προβλέψεως Αποθεμάτων (1200)</w:t>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t>Αντιπλοίαρχος (Ο) Αναστάσιος Γκλιάτης ΠΝ</w:t>
            </w:r>
          </w:p>
          <w:p>
            <w:pPr>
              <w:pStyle w:val="Normal"/>
              <w:jc w:val="center"/>
              <w:rPr>
                <w:sz w:val="20"/>
                <w:szCs w:val="20"/>
              </w:rPr>
            </w:pPr>
            <w:r>
              <w:rPr>
                <w:sz w:val="20"/>
                <w:szCs w:val="20"/>
              </w:rPr>
            </w:r>
          </w:p>
        </w:tc>
      </w:tr>
      <w:tr>
        <w:trPr/>
        <w:tc>
          <w:tcPr>
            <w:tcW w:w="3373" w:type="dxa"/>
            <w:tcBorders/>
          </w:tcPr>
          <w:p>
            <w:pPr>
              <w:pStyle w:val="Normal"/>
              <w:jc w:val="center"/>
              <w:rPr>
                <w:sz w:val="24"/>
                <w:szCs w:val="24"/>
              </w:rPr>
            </w:pPr>
            <w:r>
              <w:rPr>
                <w:sz w:val="24"/>
                <w:szCs w:val="24"/>
              </w:rPr>
              <w:t>ΘΕΩΡΗΣΗ</w:t>
            </w:r>
          </w:p>
        </w:tc>
        <w:tc>
          <w:tcPr>
            <w:tcW w:w="5925" w:type="dxa"/>
            <w:tcBorders/>
          </w:tcPr>
          <w:p>
            <w:pPr>
              <w:pStyle w:val="Normal"/>
              <w:jc w:val="center"/>
              <w:rPr>
                <w:sz w:val="24"/>
                <w:szCs w:val="24"/>
              </w:rPr>
            </w:pPr>
            <w:r>
              <w:rPr>
                <w:sz w:val="24"/>
                <w:szCs w:val="24"/>
              </w:rPr>
              <w:t>Ο Διοικητής ΚΕΦΝ</w:t>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t>Αρχιπλοίαρχος (Ο) Νικόλαος Παναγιωτούνης ΠΝ</w:t>
            </w:r>
          </w:p>
        </w:tc>
      </w:tr>
    </w:tbl>
    <w:p>
      <w:pPr>
        <w:pStyle w:val="BodyText"/>
        <w:rPr>
          <w:rFonts w:ascii="Arial" w:hAnsi="Arial"/>
          <w:sz w:val="12"/>
          <w:szCs w:val="12"/>
        </w:rPr>
      </w:pPr>
      <w:r>
        <w:rPr>
          <w:rFonts w:ascii="Arial" w:hAnsi="Arial"/>
          <w:sz w:val="12"/>
          <w:szCs w:val="12"/>
        </w:rPr>
      </w:r>
    </w:p>
    <w:tbl>
      <w:tblPr>
        <w:tblW w:w="9299" w:type="dxa"/>
        <w:jc w:val="center"/>
        <w:tblInd w:w="0" w:type="dxa"/>
        <w:tblLayout w:type="fixed"/>
        <w:tblCellMar>
          <w:top w:w="0" w:type="dxa"/>
          <w:start w:w="108" w:type="dxa"/>
          <w:bottom w:w="0" w:type="dxa"/>
          <w:end w:w="108" w:type="dxa"/>
        </w:tblCellMar>
      </w:tblPr>
      <w:tblGrid>
        <w:gridCol w:w="3373"/>
        <w:gridCol w:w="5925"/>
      </w:tblGrid>
      <w:tr>
        <w:trPr>
          <w:trHeight w:val="220" w:hRule="atLeast"/>
        </w:trPr>
        <w:tc>
          <w:tcPr>
            <w:tcW w:w="3373" w:type="dxa"/>
            <w:tcBorders/>
          </w:tcPr>
          <w:p>
            <w:pPr>
              <w:pStyle w:val="Normal"/>
              <w:snapToGrid w:val="false"/>
              <w:jc w:val="center"/>
              <w:rPr>
                <w:sz w:val="24"/>
                <w:szCs w:val="24"/>
              </w:rPr>
            </w:pPr>
            <w:r>
              <w:rPr>
                <w:sz w:val="24"/>
                <w:szCs w:val="24"/>
              </w:rPr>
            </w:r>
          </w:p>
        </w:tc>
        <w:tc>
          <w:tcPr>
            <w:tcW w:w="5925" w:type="dxa"/>
            <w:tcBorders/>
          </w:tcPr>
          <w:p>
            <w:pPr>
              <w:pStyle w:val="Normal"/>
              <w:rPr>
                <w:sz w:val="24"/>
                <w:szCs w:val="24"/>
              </w:rPr>
            </w:pPr>
            <w:r>
              <w:rPr>
                <w:rFonts w:eastAsia="Arial"/>
                <w:sz w:val="24"/>
                <w:szCs w:val="24"/>
              </w:rPr>
              <w:t xml:space="preserve">                                        </w:t>
            </w:r>
            <w:r>
              <w:rPr>
                <w:sz w:val="24"/>
                <w:szCs w:val="24"/>
              </w:rPr>
              <w:t>Ημερομηνία:             /2025</w:t>
            </w:r>
          </w:p>
        </w:tc>
      </w:tr>
    </w:tbl>
    <w:p>
      <w:pPr>
        <w:pStyle w:val="Normal"/>
        <w:numPr>
          <w:ilvl w:val="0"/>
          <w:numId w:val="0"/>
        </w:numPr>
        <w:ind w:hanging="0" w:start="0" w:end="0"/>
        <w:jc w:val="both"/>
        <w:outlineLvl w:val="0"/>
        <w:rPr>
          <w:rFonts w:cs="Arial"/>
          <w:b/>
          <w:sz w:val="18"/>
          <w:szCs w:val="18"/>
          <w:lang w:val="el-GR"/>
        </w:rPr>
      </w:pPr>
      <w:r>
        <w:rPr>
          <w:rFonts w:cs="Arial"/>
          <w:b/>
          <w:sz w:val="18"/>
          <w:szCs w:val="18"/>
          <w:lang w:val="el-GR"/>
        </w:rPr>
      </w:r>
    </w:p>
    <w:sectPr>
      <w:headerReference w:type="even" r:id="rId29"/>
      <w:headerReference w:type="default" r:id="rId30"/>
      <w:headerReference w:type="first" r:id="rId31"/>
      <w:type w:val="nextPage"/>
      <w:pgSz w:w="11906" w:h="16838"/>
      <w:pgMar w:left="1247" w:right="1021" w:gutter="0" w:header="567" w:top="1134" w:footer="0" w:bottom="1646"/>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a1" w:characterSet="windows-1253"/>
    <w:family w:val="roman"/>
    <w:pitch w:val="variable"/>
  </w:font>
  <w:font w:name="Arial">
    <w:charset w:val="a1" w:characterSet="windows-1253"/>
    <w:family w:val="swiss"/>
    <w:pitch w:val="variable"/>
  </w:font>
  <w:font w:name="UB-Helvetica">
    <w:altName w:val="Courier New"/>
    <w:charset w:val="a1" w:characterSet="windows-1253"/>
    <w:family w:val="swiss"/>
    <w:pitch w:val="variable"/>
  </w:font>
  <w:font w:name="Symbol">
    <w:charset w:val="a1" w:characterSet="windows-1253"/>
    <w:family w:val="roman"/>
    <w:pitch w:val="variable"/>
  </w:font>
  <w:font w:name="Courier New">
    <w:charset w:val="a1" w:characterSet="windows-1253"/>
    <w:family w:val="roman"/>
    <w:pitch w:val="variable"/>
  </w:font>
  <w:font w:name="Wingdings">
    <w:charset w:val="a1" w:characterSet="windows-1253"/>
    <w:family w:val="roman"/>
    <w:pitch w:val="variable"/>
  </w:font>
  <w:font w:name="OpenSymbol">
    <w:altName w:val="Arial Unicode MS"/>
    <w:charset w:val="a1" w:characterSet="windows-1253"/>
    <w:family w:val="roman"/>
    <w:pitch w:val="variable"/>
  </w:font>
  <w:font w:name="Liberation Sans">
    <w:altName w:val="Arial"/>
    <w:charset w:val="a1" w:characterSet="windows-1253"/>
    <w:family w:val="swiss"/>
    <w:pitch w:val="variable"/>
  </w:font>
  <w:font w:name="HellasArial">
    <w:altName w:val="Arial"/>
    <w:charset w:val="a1" w:characterSet="windows-1253"/>
    <w:family w:val="swiss"/>
    <w:pitch w:val="variable"/>
  </w:font>
  <w:font w:name="Myriad Pro">
    <w:altName w:val="Arial"/>
    <w:charset w:val="a1" w:characterSet="windows-1253"/>
    <w:family w:val="roman"/>
    <w:pitch w:val="variable"/>
  </w:font>
  <w:font w:name="Times New Roman">
    <w:charset w:val="a1" w:characterSet="windows-1253"/>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320"/>
        <w:tab w:val="center" w:pos="4820" w:leader="none"/>
        <w:tab w:val="right" w:pos="8640" w:leader="none"/>
      </w:tabs>
      <w:rPr/>
    </w:pPr>
    <w:r>
      <w:rPr>
        <w:lang w:val="el-GR"/>
      </w:rPr>
      <w:tab/>
    </w:r>
    <w:r>
      <w:rPr>
        <w:rStyle w:val="PageNumber"/>
        <w:lang w:val="el-GR"/>
      </w:rPr>
      <w:fldChar w:fldCharType="begin"/>
    </w:r>
    <w:r>
      <w:rPr>
        <w:rStyle w:val="PageNumber"/>
        <w:lang w:val="el-GR"/>
      </w:rPr>
      <w:instrText xml:space="preserve"> PAGE </w:instrText>
    </w:r>
    <w:r>
      <w:rPr>
        <w:rStyle w:val="PageNumber"/>
        <w:lang w:val="el-GR"/>
      </w:rPr>
      <w:fldChar w:fldCharType="separate"/>
    </w:r>
    <w:r>
      <w:rPr>
        <w:rStyle w:val="PageNumber"/>
        <w:lang w:val="el-GR"/>
      </w:rPr>
      <w:t>3</w:t>
    </w:r>
    <w:r>
      <w:rPr>
        <w:rStyle w:val="PageNumber"/>
        <w:lang w:val="el-GR"/>
      </w:rPr>
      <w:fldChar w:fldCharType="end"/>
    </w:r>
    <w:r>
      <w:rPr>
        <w:rStyle w:val="PageNumber"/>
        <w:lang w:val="el-GR"/>
      </w:rPr>
      <w:tab/>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320"/>
        <w:tab w:val="center" w:pos="4820" w:leader="none"/>
        <w:tab w:val="right" w:pos="8640" w:leader="none"/>
      </w:tabs>
      <w:rPr/>
    </w:pPr>
    <w:r>
      <w:rPr>
        <w:lang w:val="el-GR"/>
      </w:rPr>
      <w:tab/>
    </w:r>
    <w:r>
      <w:rPr>
        <w:rStyle w:val="PageNumber"/>
        <w:lang w:val="el-GR"/>
      </w:rPr>
      <w:fldChar w:fldCharType="begin"/>
    </w:r>
    <w:r>
      <w:rPr>
        <w:rStyle w:val="PageNumber"/>
        <w:lang w:val="el-GR"/>
      </w:rPr>
      <w:instrText xml:space="preserve"> PAGE </w:instrText>
    </w:r>
    <w:r>
      <w:rPr>
        <w:rStyle w:val="PageNumber"/>
        <w:lang w:val="el-GR"/>
      </w:rPr>
      <w:fldChar w:fldCharType="separate"/>
    </w:r>
    <w:r>
      <w:rPr>
        <w:rStyle w:val="PageNumber"/>
        <w:lang w:val="el-GR"/>
      </w:rPr>
      <w:t>3</w:t>
    </w:r>
    <w:r>
      <w:rPr>
        <w:rStyle w:val="PageNumber"/>
        <w:lang w:val="el-GR"/>
      </w:rPr>
      <w:fldChar w:fldCharType="end"/>
    </w:r>
    <w:r>
      <w:rPr>
        <w:rStyle w:val="PageNumber"/>
        <w:lang w:val="el-G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rPr/>
    </w:lvl>
    <w:lvl w:ilvl="1">
      <w:start w:val="1"/>
      <w:numFmt w:val="none"/>
      <w:suff w:val="nothing"/>
      <w:lvlText w:val=""/>
      <w:lvlJc w:val="start"/>
      <w:pPr>
        <w:tabs>
          <w:tab w:val="num" w:pos="0"/>
        </w:tabs>
        <w:ind w:start="0" w:hanging="0"/>
      </w:pPr>
      <w:rPr/>
    </w:lvl>
    <w:lvl w:ilvl="2">
      <w:start w:val="1"/>
      <w:numFmt w:val="none"/>
      <w:suff w:val="nothing"/>
      <w:lvlText w:val=""/>
      <w:lvlJc w:val="start"/>
      <w:pPr>
        <w:tabs>
          <w:tab w:val="num" w:pos="0"/>
        </w:tabs>
        <w:ind w:start="0" w:hanging="0"/>
      </w:pPr>
      <w:rPr/>
    </w:lvl>
    <w:lvl w:ilvl="3">
      <w:start w:val="1"/>
      <w:numFmt w:val="none"/>
      <w:suff w:val="nothing"/>
      <w:lvlText w:val=""/>
      <w:lvlJc w:val="start"/>
      <w:pPr>
        <w:tabs>
          <w:tab w:val="num" w:pos="0"/>
        </w:tabs>
        <w:ind w:start="0" w:hanging="0"/>
      </w:pPr>
      <w:rPr/>
    </w:lvl>
    <w:lvl w:ilvl="4">
      <w:start w:val="1"/>
      <w:numFmt w:val="none"/>
      <w:suff w:val="nothing"/>
      <w:lvlText w:val=""/>
      <w:lvlJc w:val="start"/>
      <w:pPr>
        <w:tabs>
          <w:tab w:val="num" w:pos="0"/>
        </w:tabs>
        <w:ind w:start="0" w:hanging="0"/>
      </w:pPr>
      <w:rPr/>
    </w:lvl>
    <w:lvl w:ilvl="5">
      <w:start w:val="1"/>
      <w:numFmt w:val="none"/>
      <w:suff w:val="nothing"/>
      <w:lvlText w:val=""/>
      <w:lvlJc w:val="start"/>
      <w:pPr>
        <w:tabs>
          <w:tab w:val="num" w:pos="0"/>
        </w:tabs>
        <w:ind w:start="0" w:hanging="0"/>
      </w:pPr>
      <w:rPr/>
    </w:lvl>
    <w:lvl w:ilvl="6">
      <w:start w:val="1"/>
      <w:numFmt w:val="none"/>
      <w:suff w:val="nothing"/>
      <w:lvlText w:val=""/>
      <w:lvlJc w:val="start"/>
      <w:pPr>
        <w:tabs>
          <w:tab w:val="num" w:pos="0"/>
        </w:tabs>
        <w:ind w:start="0" w:hanging="0"/>
      </w:pPr>
      <w:rPr/>
    </w:lvl>
    <w:lvl w:ilvl="7">
      <w:start w:val="1"/>
      <w:numFmt w:val="none"/>
      <w:suff w:val="nothing"/>
      <w:lvlText w:val=""/>
      <w:lvlJc w:val="start"/>
      <w:pPr>
        <w:tabs>
          <w:tab w:val="num" w:pos="0"/>
        </w:tabs>
        <w:ind w:start="0" w:hanging="0"/>
      </w:pPr>
      <w:rPr/>
    </w:lvl>
    <w:lvl w:ilvl="8">
      <w:start w:val="1"/>
      <w:numFmt w:val="none"/>
      <w:suff w:val="nothing"/>
      <w:lvlText w:val=""/>
      <w:lvlJc w:val="start"/>
      <w:pPr>
        <w:tabs>
          <w:tab w:val="num" w:pos="0"/>
        </w:tabs>
        <w:ind w:start="0" w:hanging="0"/>
      </w:pPr>
      <w:rPr/>
    </w:lvl>
  </w:abstractNum>
  <w:abstractNum w:abstractNumId="2">
    <w:lvl w:ilvl="0">
      <w:start w:val="1"/>
      <w:numFmt w:val="decimal"/>
      <w:lvlText w:val="%1."/>
      <w:lvlJc w:val="start"/>
      <w:pPr>
        <w:tabs>
          <w:tab w:val="num" w:pos="360"/>
        </w:tabs>
        <w:ind w:start="0" w:hanging="0"/>
      </w:pPr>
      <w:rPr/>
    </w:lvl>
    <w:lvl w:ilvl="1">
      <w:start w:val="1"/>
      <w:numFmt w:val="decimal"/>
      <w:lvlText w:val="%1.%2."/>
      <w:lvlJc w:val="start"/>
      <w:pPr>
        <w:tabs>
          <w:tab w:val="num" w:pos="717"/>
        </w:tabs>
        <w:ind w:start="357" w:hanging="0"/>
      </w:pPr>
      <w:rPr/>
    </w:lvl>
    <w:lvl w:ilvl="2">
      <w:start w:val="1"/>
      <w:numFmt w:val="decimal"/>
      <w:lvlText w:val="%1.%2.%3."/>
      <w:lvlJc w:val="start"/>
      <w:pPr>
        <w:tabs>
          <w:tab w:val="num" w:pos="1457"/>
        </w:tabs>
        <w:ind w:start="737" w:hanging="0"/>
      </w:pPr>
      <w:rPr/>
    </w:lvl>
    <w:lvl w:ilvl="3">
      <w:start w:val="1"/>
      <w:numFmt w:val="decimal"/>
      <w:lvlText w:val="%1.%2.%3.%4."/>
      <w:lvlJc w:val="start"/>
      <w:pPr>
        <w:tabs>
          <w:tab w:val="num" w:pos="2421"/>
        </w:tabs>
        <w:ind w:start="1701" w:hanging="0"/>
      </w:pPr>
      <w:rPr/>
    </w:lvl>
    <w:lvl w:ilvl="4">
      <w:start w:val="1"/>
      <w:numFmt w:val="decimal"/>
      <w:lvlText w:val="%1.%2.%3.%4.%5."/>
      <w:lvlJc w:val="start"/>
      <w:pPr>
        <w:tabs>
          <w:tab w:val="num" w:pos="2520"/>
        </w:tabs>
        <w:ind w:start="2232" w:hanging="792"/>
      </w:pPr>
      <w:rPr/>
    </w:lvl>
    <w:lvl w:ilvl="5">
      <w:start w:val="1"/>
      <w:numFmt w:val="decimal"/>
      <w:lvlText w:val="%1.%2.%3.%4.%5.%6."/>
      <w:lvlJc w:val="start"/>
      <w:pPr>
        <w:tabs>
          <w:tab w:val="num" w:pos="2880"/>
        </w:tabs>
        <w:ind w:start="2736" w:hanging="936"/>
      </w:pPr>
      <w:rPr/>
    </w:lvl>
    <w:lvl w:ilvl="6">
      <w:start w:val="1"/>
      <w:numFmt w:val="decimal"/>
      <w:lvlText w:val="%1.%2.%3.%4.%5.%6.%7."/>
      <w:lvlJc w:val="start"/>
      <w:pPr>
        <w:tabs>
          <w:tab w:val="num" w:pos="3600"/>
        </w:tabs>
        <w:ind w:start="3240" w:hanging="1080"/>
      </w:pPr>
      <w:rPr/>
    </w:lvl>
    <w:lvl w:ilvl="7">
      <w:start w:val="1"/>
      <w:numFmt w:val="decimal"/>
      <w:lvlText w:val="%1.%2.%3.%4.%5.%6.%7.%8."/>
      <w:lvlJc w:val="start"/>
      <w:pPr>
        <w:tabs>
          <w:tab w:val="num" w:pos="3960"/>
        </w:tabs>
        <w:ind w:start="3744" w:hanging="1224"/>
      </w:pPr>
      <w:rPr/>
    </w:lvl>
    <w:lvl w:ilvl="8">
      <w:start w:val="1"/>
      <w:numFmt w:val="decimal"/>
      <w:lvlText w:val="%1.%2.%3.%4.%5.%6.%7.%8.%9."/>
      <w:lvlJc w:val="start"/>
      <w:pPr>
        <w:tabs>
          <w:tab w:val="num" w:pos="4680"/>
        </w:tabs>
        <w:ind w:start="4320" w:hanging="1440"/>
      </w:pPr>
      <w:rPr/>
    </w:lvl>
  </w:abstractNum>
  <w:abstractNum w:abstractNumId="3">
    <w:lvl w:ilvl="0">
      <w:start w:val="1"/>
      <w:numFmt w:val="decimal"/>
      <w:lvlText w:val="2.2.%1"/>
      <w:lvlJc w:val="start"/>
      <w:pPr>
        <w:tabs>
          <w:tab w:val="num" w:pos="0"/>
        </w:tabs>
        <w:ind w:start="0" w:hanging="0"/>
      </w:pPr>
      <w:rPr>
        <w:sz w:val="24"/>
        <w:i w:val="false"/>
        <w:b/>
        <w:szCs w:val="24"/>
        <w:rFonts w:ascii="Arial" w:hAnsi="Arial" w:cs="Arial"/>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4">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10"/>
  <w:defaultTabStop w:val="720"/>
  <w:autoHyphenation w:val="true"/>
  <w:hyphenationZone w:val="360"/>
  <w:compat>
    <w:doNotBreakWrappedTables/>
    <w:compatSetting w:name="compatibilityMode" w:uri="http://schemas.microsoft.com/office/word" w:val="1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el-GR" w:eastAsia="zh-CN" w:bidi="hi-IN"/>
      </w:rPr>
    </w:rPrDefault>
    <w:pPrDefault>
      <w:pPr>
        <w:suppressAutoHyphens w:val="true"/>
      </w:pPr>
    </w:pPrDefault>
  </w:docDefaults>
  <w:style w:type="paragraph" w:styleId="Normal">
    <w:name w:val="Normal"/>
    <w:qFormat/>
    <w:pPr>
      <w:widowControl/>
      <w:suppressAutoHyphens w:val="true"/>
      <w:bidi w:val="0"/>
      <w:spacing w:before="0" w:after="0"/>
      <w:jc w:val="both"/>
    </w:pPr>
    <w:rPr>
      <w:rFonts w:ascii="Arial" w:hAnsi="Arial" w:eastAsia="Times New Roman" w:cs="Arial"/>
      <w:color w:val="auto"/>
      <w:kern w:val="0"/>
      <w:sz w:val="23"/>
      <w:szCs w:val="20"/>
      <w:lang w:val="el-GR" w:eastAsia="zh-CN" w:bidi="ar-SA"/>
    </w:rPr>
  </w:style>
  <w:style w:type="paragraph" w:styleId="Heading1">
    <w:name w:val="heading 1"/>
    <w:basedOn w:val="Normal"/>
    <w:next w:val="Normal"/>
    <w:qFormat/>
    <w:pPr>
      <w:keepNext w:val="true"/>
      <w:numPr>
        <w:ilvl w:val="0"/>
        <w:numId w:val="1"/>
      </w:numPr>
      <w:jc w:val="center"/>
      <w:outlineLvl w:val="0"/>
    </w:pPr>
    <w:rPr>
      <w:rFonts w:ascii="UB-Helvetica;Courier New" w:hAnsi="UB-Helvetica;Courier New" w:cs="UB-Helvetica;Courier New"/>
      <w:b/>
      <w:sz w:val="28"/>
    </w:rPr>
  </w:style>
  <w:style w:type="character" w:styleId="WW8Num3z0">
    <w:name w:val="WW8Num3z0"/>
    <w:qFormat/>
    <w:rPr>
      <w:rFonts w:ascii="Arial" w:hAnsi="Arial" w:cs="Arial"/>
      <w:b/>
      <w:i w:val="false"/>
      <w:sz w:val="24"/>
      <w:szCs w:val="24"/>
    </w:rPr>
  </w:style>
  <w:style w:type="character" w:styleId="WW8Num2z0">
    <w:name w:val="WW8Num2z0"/>
    <w:qFormat/>
    <w:rPr>
      <w:rFonts w:ascii="Symbol" w:hAnsi="Symbol" w:cs="Symbol"/>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1">
    <w:name w:val="WW8Num5z1"/>
    <w:qFormat/>
    <w:rPr/>
  </w:style>
  <w:style w:type="character" w:styleId="WW8Num7z0">
    <w:name w:val="WW8Num7z0"/>
    <w:qFormat/>
    <w:rPr>
      <w:rFonts w:ascii="Arial" w:hAnsi="Arial" w:cs="Arial"/>
      <w:b/>
      <w:i w:val="false"/>
      <w:sz w:val="24"/>
      <w:szCs w:val="24"/>
    </w:rPr>
  </w:style>
  <w:style w:type="character" w:styleId="WW8Num8z0">
    <w:name w:val="WW8Num8z0"/>
    <w:qFormat/>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8z3">
    <w:name w:val="WW8Num8z3"/>
    <w:qFormat/>
    <w:rPr>
      <w:rFonts w:ascii="Symbol" w:hAnsi="Symbol" w:cs="Symbol"/>
    </w:rPr>
  </w:style>
  <w:style w:type="character" w:styleId="WW8Num9z0">
    <w:name w:val="WW8Num9z0"/>
    <w:qFormat/>
    <w:rPr>
      <w:rFonts w:ascii="Symbol" w:hAnsi="Symbol" w:cs="Symbol"/>
    </w:rPr>
  </w:style>
  <w:style w:type="character" w:styleId="WW8Num10z0">
    <w:name w:val="WW8Num10z0"/>
    <w:qFormat/>
    <w:rPr>
      <w:rFonts w:ascii="Arial" w:hAnsi="Arial" w:cs="Arial"/>
      <w:b/>
      <w:i w:val="false"/>
      <w:sz w:val="24"/>
      <w:szCs w:val="24"/>
    </w:rPr>
  </w:style>
  <w:style w:type="character" w:styleId="WW8Num12z0">
    <w:name w:val="WW8Num12z0"/>
    <w:qFormat/>
    <w:rPr>
      <w:b/>
    </w:rPr>
  </w:style>
  <w:style w:type="character" w:styleId="WW8Num13z0">
    <w:name w:val="WW8Num13z0"/>
    <w:qFormat/>
    <w:rPr>
      <w:rFonts w:ascii="Arial" w:hAnsi="Arial" w:cs="Arial"/>
      <w:b/>
      <w:i w:val="false"/>
      <w:sz w:val="24"/>
      <w:szCs w:val="24"/>
    </w:rPr>
  </w:style>
  <w:style w:type="character" w:styleId="WW8Num14z0">
    <w:name w:val="WW8Num14z0"/>
    <w:qFormat/>
    <w:rPr>
      <w:rFonts w:ascii="Wingdings" w:hAnsi="Wingdings" w:cs="Wingdings"/>
    </w:rPr>
  </w:style>
  <w:style w:type="character" w:styleId="WW8Num15z0">
    <w:name w:val="WW8Num15z0"/>
    <w:qFormat/>
    <w:rPr>
      <w:rFonts w:ascii="Arial" w:hAnsi="Arial" w:cs="Arial"/>
      <w:b/>
      <w:i w:val="false"/>
      <w:sz w:val="24"/>
      <w:szCs w:val="24"/>
    </w:rPr>
  </w:style>
  <w:style w:type="character" w:styleId="WW8Num16z0">
    <w:name w:val="WW8Num16z0"/>
    <w:qFormat/>
    <w:rPr>
      <w:rFonts w:ascii="Wingdings" w:hAnsi="Wingdings" w:cs="Wingdings"/>
    </w:rPr>
  </w:style>
  <w:style w:type="character" w:styleId="WW8Num18z0">
    <w:name w:val="WW8Num18z0"/>
    <w:qFormat/>
    <w:rPr>
      <w:rFonts w:ascii="Arial" w:hAnsi="Arial" w:cs="Arial"/>
      <w:b/>
      <w:i w:val="false"/>
      <w:sz w:val="24"/>
      <w:szCs w:val="24"/>
    </w:rPr>
  </w:style>
  <w:style w:type="character" w:styleId="WW8Num19z0">
    <w:name w:val="WW8Num19z0"/>
    <w:qFormat/>
    <w:rPr>
      <w:rFonts w:ascii="Arial" w:hAnsi="Arial" w:cs="Arial"/>
      <w:b/>
      <w:i w:val="false"/>
      <w:sz w:val="24"/>
      <w:szCs w:val="24"/>
    </w:rPr>
  </w:style>
  <w:style w:type="character" w:styleId="WW8Num20z0">
    <w:name w:val="WW8Num20z0"/>
    <w:qFormat/>
    <w:rPr>
      <w:rFonts w:ascii="Symbol" w:hAnsi="Symbol" w:cs="Symbol"/>
    </w:rPr>
  </w:style>
  <w:style w:type="character" w:styleId="WW8Num20z1">
    <w:name w:val="WW8Num20z1"/>
    <w:qFormat/>
    <w:rPr>
      <w:rFonts w:ascii="Courier New" w:hAnsi="Courier New" w:cs="Courier New"/>
    </w:rPr>
  </w:style>
  <w:style w:type="character" w:styleId="WW8Num20z2">
    <w:name w:val="WW8Num20z2"/>
    <w:qFormat/>
    <w:rPr>
      <w:rFonts w:ascii="Wingdings" w:hAnsi="Wingdings" w:cs="Wingdings"/>
    </w:rPr>
  </w:style>
  <w:style w:type="character" w:styleId="WW8Num22z1">
    <w:name w:val="WW8Num22z1"/>
    <w:qFormat/>
    <w:rPr/>
  </w:style>
  <w:style w:type="character" w:styleId="WW8Num23z0">
    <w:name w:val="WW8Num23z0"/>
    <w:qFormat/>
    <w:rPr>
      <w:rFonts w:ascii="Arial" w:hAnsi="Arial" w:cs="Arial"/>
      <w:b/>
      <w:i w:val="false"/>
      <w:sz w:val="24"/>
      <w:szCs w:val="24"/>
    </w:rPr>
  </w:style>
  <w:style w:type="character" w:styleId="WW8Num23z1">
    <w:name w:val="WW8Num23z1"/>
    <w:qFormat/>
    <w:rPr>
      <w:b/>
      <w:i w:val="false"/>
      <w:sz w:val="24"/>
      <w:szCs w:val="24"/>
    </w:rPr>
  </w:style>
  <w:style w:type="character" w:styleId="WW8Num24z0">
    <w:name w:val="WW8Num24z0"/>
    <w:qFormat/>
    <w:rPr>
      <w:rFonts w:ascii="Symbol" w:hAnsi="Symbol" w:cs="Symbol"/>
    </w:rPr>
  </w:style>
  <w:style w:type="character" w:styleId="WW8Num24z1">
    <w:name w:val="WW8Num24z1"/>
    <w:qFormat/>
    <w:rPr>
      <w:rFonts w:ascii="Courier New" w:hAnsi="Courier New" w:cs="Courier New"/>
    </w:rPr>
  </w:style>
  <w:style w:type="character" w:styleId="WW8Num24z2">
    <w:name w:val="WW8Num24z2"/>
    <w:qFormat/>
    <w:rPr>
      <w:rFonts w:ascii="Wingdings" w:hAnsi="Wingdings" w:cs="Wingdings"/>
    </w:rPr>
  </w:style>
  <w:style w:type="character" w:styleId="WW8Num25z0">
    <w:name w:val="WW8Num25z0"/>
    <w:qFormat/>
    <w:rPr>
      <w:rFonts w:ascii="Symbol" w:hAnsi="Symbol" w:cs="Symbol"/>
    </w:rPr>
  </w:style>
  <w:style w:type="character" w:styleId="WW8Num27z0">
    <w:name w:val="WW8Num27z0"/>
    <w:qFormat/>
    <w:rPr>
      <w:rFonts w:ascii="Symbol" w:hAnsi="Symbol" w:cs="Symbol"/>
    </w:rPr>
  </w:style>
  <w:style w:type="character" w:styleId="WW8Num28z0">
    <w:name w:val="WW8Num28z0"/>
    <w:qFormat/>
    <w:rPr>
      <w:rFonts w:ascii="Arial" w:hAnsi="Arial" w:cs="Arial"/>
      <w:b/>
      <w:i w:val="false"/>
      <w:sz w:val="24"/>
      <w:szCs w:val="24"/>
    </w:rPr>
  </w:style>
  <w:style w:type="character" w:styleId="WW8Num30z0">
    <w:name w:val="WW8Num30z0"/>
    <w:qFormat/>
    <w:rPr>
      <w:rFonts w:ascii="Arial" w:hAnsi="Arial" w:cs="Arial"/>
      <w:b/>
      <w:i w:val="false"/>
      <w:sz w:val="24"/>
      <w:szCs w:val="24"/>
    </w:rPr>
  </w:style>
  <w:style w:type="character" w:styleId="WW8Num31z0">
    <w:name w:val="WW8Num31z0"/>
    <w:qFormat/>
    <w:rPr/>
  </w:style>
  <w:style w:type="character" w:styleId="WW8Num32z0">
    <w:name w:val="WW8Num32z0"/>
    <w:qFormat/>
    <w:rPr>
      <w:rFonts w:ascii="Arial" w:hAnsi="Arial" w:cs="Arial"/>
      <w:b/>
      <w:i w:val="false"/>
      <w:sz w:val="24"/>
      <w:szCs w:val="24"/>
    </w:rPr>
  </w:style>
  <w:style w:type="character" w:styleId="WW8Num33z0">
    <w:name w:val="WW8Num33z0"/>
    <w:qFormat/>
    <w:rPr>
      <w:rFonts w:ascii="Arial" w:hAnsi="Arial" w:cs="Arial"/>
      <w:b/>
      <w:i w:val="false"/>
      <w:sz w:val="24"/>
      <w:szCs w:val="24"/>
    </w:rPr>
  </w:style>
  <w:style w:type="character" w:styleId="WW8Num34z0">
    <w:name w:val="WW8Num34z0"/>
    <w:qFormat/>
    <w:rPr>
      <w:rFonts w:ascii="Symbol" w:hAnsi="Symbol" w:cs="Symbol"/>
    </w:rPr>
  </w:style>
  <w:style w:type="character" w:styleId="WW8Num34z1">
    <w:name w:val="WW8Num34z1"/>
    <w:qFormat/>
    <w:rPr>
      <w:rFonts w:ascii="Courier New" w:hAnsi="Courier New" w:cs="Courier New"/>
    </w:rPr>
  </w:style>
  <w:style w:type="character" w:styleId="WW8Num34z2">
    <w:name w:val="WW8Num34z2"/>
    <w:qFormat/>
    <w:rPr>
      <w:rFonts w:ascii="Wingdings" w:hAnsi="Wingdings" w:cs="Wingdings"/>
    </w:rPr>
  </w:style>
  <w:style w:type="character" w:styleId="WW8Num35z0">
    <w:name w:val="WW8Num35z0"/>
    <w:qFormat/>
    <w:rPr>
      <w:rFonts w:ascii="Arial" w:hAnsi="Arial" w:cs="Arial"/>
      <w:b/>
      <w:i w:val="false"/>
      <w:sz w:val="24"/>
      <w:szCs w:val="24"/>
    </w:rPr>
  </w:style>
  <w:style w:type="character" w:styleId="WW8Num36z0">
    <w:name w:val="WW8Num36z0"/>
    <w:qFormat/>
    <w:rPr>
      <w:rFonts w:ascii="Symbol" w:hAnsi="Symbol" w:cs="Symbol"/>
    </w:rPr>
  </w:style>
  <w:style w:type="character" w:styleId="WW8Num36z1">
    <w:name w:val="WW8Num36z1"/>
    <w:qFormat/>
    <w:rPr>
      <w:rFonts w:ascii="Courier New" w:hAnsi="Courier New" w:cs="Courier New"/>
    </w:rPr>
  </w:style>
  <w:style w:type="character" w:styleId="WW8Num36z2">
    <w:name w:val="WW8Num36z2"/>
    <w:qFormat/>
    <w:rPr>
      <w:rFonts w:ascii="Wingdings" w:hAnsi="Wingdings" w:cs="Wingdings"/>
    </w:rPr>
  </w:style>
  <w:style w:type="character" w:styleId="WW8Num39z0">
    <w:name w:val="WW8Num39z0"/>
    <w:qFormat/>
    <w:rPr>
      <w:rFonts w:ascii="Arial" w:hAnsi="Arial" w:cs="Arial"/>
      <w:b/>
      <w:i w:val="false"/>
      <w:sz w:val="24"/>
      <w:szCs w:val="24"/>
    </w:rPr>
  </w:style>
  <w:style w:type="character" w:styleId="WW8Num41z0">
    <w:name w:val="WW8Num41z0"/>
    <w:qFormat/>
    <w:rPr>
      <w:rFonts w:ascii="Arial" w:hAnsi="Arial" w:cs="Arial"/>
      <w:b w:val="false"/>
      <w:i w:val="false"/>
      <w:sz w:val="24"/>
      <w:szCs w:val="24"/>
    </w:rPr>
  </w:style>
  <w:style w:type="character" w:styleId="Style13">
    <w:name w:val="Προεπιλεγμένη γραμματοσειρά"/>
    <w:qFormat/>
    <w:rPr/>
  </w:style>
  <w:style w:type="character" w:styleId="PageNumber">
    <w:name w:val="page number"/>
    <w:basedOn w:val="Style13"/>
    <w:rPr/>
  </w:style>
  <w:style w:type="character" w:styleId="Arial115pt">
    <w:name w:val="Στυλ Arial 115 pt Έντονα"/>
    <w:basedOn w:val="Style13"/>
    <w:qFormat/>
    <w:rPr>
      <w:rFonts w:ascii="Arial" w:hAnsi="Arial" w:cs="Arial"/>
      <w:b/>
      <w:bCs/>
      <w:sz w:val="23"/>
      <w:lang w:val="el-GR"/>
    </w:rPr>
  </w:style>
  <w:style w:type="character" w:styleId="Arial120pt">
    <w:name w:val="Στυλ Arial 120 pt Έντονα"/>
    <w:basedOn w:val="Style13"/>
    <w:qFormat/>
    <w:rPr>
      <w:rFonts w:ascii="Arial" w:hAnsi="Arial" w:cs="Arial"/>
      <w:b/>
      <w:bCs/>
      <w:sz w:val="24"/>
      <w:lang w:val="el-GR"/>
    </w:rPr>
  </w:style>
  <w:style w:type="character" w:styleId="Hyperlink">
    <w:name w:val="Hyperlink"/>
    <w:basedOn w:val="Style13"/>
    <w:rPr>
      <w:color w:val="0000FF"/>
      <w:u w:val="single"/>
    </w:rPr>
  </w:style>
  <w:style w:type="character" w:styleId="Bullets">
    <w:name w:val="Bullets"/>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Arial" w:hAnsi="Liberation Sans;Arial" w:eastAsia="Microsoft YaHei" w:cs="Arial"/>
      <w:sz w:val="28"/>
      <w:szCs w:val="28"/>
    </w:rPr>
  </w:style>
  <w:style w:type="paragraph" w:styleId="BodyText">
    <w:name w:val="Body Text"/>
    <w:basedOn w:val="Normal"/>
    <w:pPr>
      <w:spacing w:before="0" w:after="120"/>
    </w:pPr>
    <w:rPr>
      <w:rFonts w:ascii="UB-Helvetica;Courier New" w:hAnsi="UB-Helvetica;Courier New" w:cs="UB-Helvetica;Courier New"/>
      <w:sz w:val="22"/>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Header">
    <w:name w:val="header"/>
    <w:basedOn w:val="Normal"/>
    <w:pPr>
      <w:tabs>
        <w:tab w:val="clear" w:pos="720"/>
        <w:tab w:val="center" w:pos="4320" w:leader="none"/>
        <w:tab w:val="right" w:pos="8640" w:leader="none"/>
      </w:tabs>
    </w:pPr>
    <w:rPr/>
  </w:style>
  <w:style w:type="paragraph" w:styleId="EndnoteText">
    <w:name w:val="endnote text"/>
    <w:basedOn w:val="Normal"/>
    <w:pPr/>
    <w:rPr>
      <w:rFonts w:ascii="HellasArial;Arial" w:hAnsi="HellasArial;Arial" w:cs="HellasArial;Arial"/>
      <w:sz w:val="20"/>
      <w:lang w:val="el-GR" w:eastAsia="el-GR"/>
    </w:rPr>
  </w:style>
  <w:style w:type="paragraph" w:styleId="Footer">
    <w:name w:val="footer"/>
    <w:basedOn w:val="Normal"/>
    <w:pPr>
      <w:tabs>
        <w:tab w:val="clear" w:pos="720"/>
        <w:tab w:val="center" w:pos="4320" w:leader="none"/>
        <w:tab w:val="right" w:pos="8640" w:leader="none"/>
      </w:tabs>
    </w:pPr>
    <w:rPr/>
  </w:style>
  <w:style w:type="paragraph" w:styleId="Style14">
    <w:name w:val="Βασικό Αρίθμηση"/>
    <w:basedOn w:val="Normal"/>
    <w:qFormat/>
    <w:pPr>
      <w:widowControl w:val="false"/>
      <w:numPr>
        <w:ilvl w:val="0"/>
        <w:numId w:val="2"/>
      </w:numPr>
    </w:pPr>
    <w:rPr>
      <w:sz w:val="20"/>
    </w:rPr>
  </w:style>
  <w:style w:type="paragraph" w:styleId="Style15">
    <w:name w:val="Τμήμα κειμένου"/>
    <w:basedOn w:val="Normal"/>
    <w:qFormat/>
    <w:pPr>
      <w:ind w:hanging="0" w:start="720" w:end="-694"/>
    </w:pPr>
    <w:rPr>
      <w:rFonts w:cs="Arial"/>
    </w:rPr>
  </w:style>
  <w:style w:type="paragraph" w:styleId="Default">
    <w:name w:val="Default"/>
    <w:qFormat/>
    <w:pPr>
      <w:widowControl/>
      <w:suppressAutoHyphens w:val="true"/>
      <w:bidi w:val="0"/>
      <w:spacing w:before="0" w:after="0"/>
      <w:jc w:val="start"/>
    </w:pPr>
    <w:rPr>
      <w:rFonts w:ascii="Myriad Pro;Arial" w:hAnsi="Myriad Pro;Arial" w:eastAsia="Times New Roman" w:cs="Myriad Pro;Arial"/>
      <w:color w:val="000000"/>
      <w:kern w:val="0"/>
      <w:sz w:val="24"/>
      <w:szCs w:val="24"/>
      <w:lang w:val="el-GR" w:eastAsia="zh-CN" w:bidi="ar-SA"/>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Standard">
    <w:name w:val="Standard"/>
    <w:qFormat/>
    <w:pPr>
      <w:widowControl/>
      <w:suppressAutoHyphens w:val="true"/>
      <w:bidi w:val="0"/>
      <w:spacing w:before="0" w:after="0"/>
      <w:jc w:val="start"/>
      <w:textAlignment w:val="baseline"/>
    </w:pPr>
    <w:rPr>
      <w:rFonts w:ascii="Times New Roman" w:hAnsi="Times New Roman" w:eastAsia="Lucida Sans Unicode" w:cs="Lucida Sans"/>
      <w:color w:val="auto"/>
      <w:kern w:val="2"/>
      <w:sz w:val="24"/>
      <w:szCs w:val="24"/>
      <w:lang w:val="el-GR" w:eastAsia="zh-CN" w:bidi="hi-IN"/>
    </w:rPr>
  </w:style>
  <w:style w:type="numbering" w:styleId="WW8Num1">
    <w:name w:val="WW8Num1"/>
    <w:qFormat/>
  </w:style>
  <w:style w:type="numbering" w:styleId="WW8Num2">
    <w:name w:val="WW8Num2"/>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wmf"/><Relationship Id="rId11" Type="http://schemas.openxmlformats.org/officeDocument/2006/relationships/image" Target="media/image10.wmf"/><Relationship Id="rId12" Type="http://schemas.openxmlformats.org/officeDocument/2006/relationships/image" Target="media/image11.wmf"/><Relationship Id="rId13" Type="http://schemas.openxmlformats.org/officeDocument/2006/relationships/image" Target="media/image12.wmf"/><Relationship Id="rId14" Type="http://schemas.openxmlformats.org/officeDocument/2006/relationships/image" Target="media/image13.wmf"/><Relationship Id="rId15" Type="http://schemas.openxmlformats.org/officeDocument/2006/relationships/image" Target="media/image14.wmf"/><Relationship Id="rId16" Type="http://schemas.openxmlformats.org/officeDocument/2006/relationships/image" Target="media/image15.wmf"/><Relationship Id="rId17" Type="http://schemas.openxmlformats.org/officeDocument/2006/relationships/image" Target="media/image16.wmf"/><Relationship Id="rId18" Type="http://schemas.openxmlformats.org/officeDocument/2006/relationships/image" Target="media/image17.wmf"/><Relationship Id="rId19" Type="http://schemas.openxmlformats.org/officeDocument/2006/relationships/image" Target="media/image18.wmf"/><Relationship Id="rId20" Type="http://schemas.openxmlformats.org/officeDocument/2006/relationships/image" Target="media/image19.wmf"/><Relationship Id="rId21" Type="http://schemas.openxmlformats.org/officeDocument/2006/relationships/image" Target="media/image20.wmf"/><Relationship Id="rId22" Type="http://schemas.openxmlformats.org/officeDocument/2006/relationships/image" Target="media/image21.wmf"/><Relationship Id="rId23" Type="http://schemas.openxmlformats.org/officeDocument/2006/relationships/image" Target="media/image22.png"/><Relationship Id="rId24" Type="http://schemas.openxmlformats.org/officeDocument/2006/relationships/image" Target="media/image23.wmf"/><Relationship Id="rId25" Type="http://schemas.openxmlformats.org/officeDocument/2006/relationships/image" Target="media/image24.wmf"/><Relationship Id="rId26" Type="http://schemas.openxmlformats.org/officeDocument/2006/relationships/image" Target="media/image25.wmf"/><Relationship Id="rId27" Type="http://schemas.openxmlformats.org/officeDocument/2006/relationships/hyperlink" Target="https://prodiagrafes.army.gr/" TargetMode="External"/><Relationship Id="rId28" Type="http://schemas.openxmlformats.org/officeDocument/2006/relationships/hyperlink" Target="https://prodiagrafes.army.gr/" TargetMode="External"/><Relationship Id="rId29" Type="http://schemas.openxmlformats.org/officeDocument/2006/relationships/header" Target="header1.xml"/><Relationship Id="rId30" Type="http://schemas.openxmlformats.org/officeDocument/2006/relationships/header" Target="header2.xml"/><Relationship Id="rId31" Type="http://schemas.openxmlformats.org/officeDocument/2006/relationships/header" Target="header3.xml"/><Relationship Id="rId32" Type="http://schemas.openxmlformats.org/officeDocument/2006/relationships/numbering" Target="numbering.xml"/><Relationship Id="rId33" Type="http://schemas.openxmlformats.org/officeDocument/2006/relationships/fontTable" Target="fontTable.xml"/><Relationship Id="rId34" Type="http://schemas.openxmlformats.org/officeDocument/2006/relationships/settings" Target="settings.xml"/><Relationship Id="rId3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Normal_x005F_x0000_</Template>
  <TotalTime>603</TotalTime>
  <Application>LibreOffice/24.8.6.2$Windows_X86_64 LibreOffice_project/6d98ba145e9a8a39fc57bcc76981d1fb1316c60c</Application>
  <AppVersion>15.0000</AppVersion>
  <Pages>22</Pages>
  <Words>5785</Words>
  <Characters>34955</Characters>
  <CharactersWithSpaces>42856</CharactersWithSpaces>
  <Paragraphs>601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2014-11-24T12:53:00Z</dcterms:created>
  <dc:creator>ARGYROPOULOS B</dc:creator>
  <dc:description/>
  <dc:language>el-GR</dc:language>
  <cp:lastModifiedBy/>
  <cp:lastPrinted>2025-02-13T13:15:29Z</cp:lastPrinted>
  <dcterms:modified xsi:type="dcterms:W3CDTF">2025-03-19T09:30:24Z</dcterms:modified>
  <cp:revision>78</cp:revision>
  <dc:subject/>
  <dc:title>ΚΕΝΤΡΟ ΕΦΟΔΙΑΣΜΟΥ ΝΑΥΤΙΚΟΥ</dc:title>
</cp:coreProperties>
</file>

<file path=docProps/custom.xml><?xml version="1.0" encoding="utf-8"?>
<Properties xmlns="http://schemas.openxmlformats.org/officeDocument/2006/custom-properties" xmlns:vt="http://schemas.openxmlformats.org/officeDocument/2006/docPropsVTypes"/>
</file>