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326B99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FD100F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ΕΥΑΓΓΕΛΟΣ 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ΚΟΡΡΕΣ</w:t>
            </w: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ΓΕΝ/Δ1-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4D46F3" w:rsidRDefault="004D46F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210-6557853</w:t>
            </w:r>
          </w:p>
        </w:tc>
      </w:tr>
      <w:tr w:rsidR="00326B99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E60EB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E60EB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B99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FD100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665FE3" w:rsidRDefault="00665FE3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gen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 w:rsidRPr="00665FE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326B99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FD100F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FC3459" w:rsidRDefault="00FC3459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ΝΕΑ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4B6AE9" w:rsidRDefault="00E60EB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C71C53" w:rsidP="00665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ΥΔΡΑΥΛΙΚΑ ΕΛΑΙΑ ΝΑΥΤΙΚΩΝ ΣΥΣΤΗΜΑΤΩΝ</w:t>
            </w:r>
            <w:r w:rsidR="00665FE3" w:rsidRPr="00665FE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4B6AE9" w:rsidRDefault="00FD100F" w:rsidP="00665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 </w:t>
            </w:r>
          </w:p>
        </w:tc>
      </w:tr>
      <w:tr w:rsidR="00326B99" w:rsidTr="00CE07BF">
        <w:tc>
          <w:tcPr>
            <w:tcW w:w="3734" w:type="dxa"/>
          </w:tcPr>
          <w:p w:rsidR="00CE07BF" w:rsidRPr="009D6B07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E313B8" w:rsidRDefault="00C71C5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09211600-7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EB1A58" w:rsidRDefault="006F3E28" w:rsidP="00FD1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665FE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7B5F09" w:rsidRDefault="009F4F63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326B99" w:rsidTr="00CE07BF">
        <w:tc>
          <w:tcPr>
            <w:tcW w:w="3734" w:type="dxa"/>
          </w:tcPr>
          <w:p w:rsidR="00CE07BF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665FE3" w:rsidRDefault="00665FE3" w:rsidP="00C71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Περιγράφονται οι απαιτήσεις ταξινόμησης καθώς και τα φυσικοχημικά χαρακτηριστικά, οι απαιτήσεις λειτουργικότητ</w:t>
            </w:r>
            <w:r w:rsidR="00C71C53">
              <w:rPr>
                <w:rFonts w:ascii="Arial" w:hAnsi="Arial" w:cs="Arial"/>
                <w:sz w:val="20"/>
                <w:szCs w:val="20"/>
              </w:rPr>
              <w:t>ας και οι μηχανικές δοκιμές των υδραυλικών ελαίων ναυτικών συστημάτων</w:t>
            </w:r>
            <w:r w:rsidRPr="00665F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Επίσης αναγράφονται τα απαιτούμενα δικαιολογητικά υποβολής κατά την υποβολή προσφοράς και κατά την παραλαβή </w:t>
            </w:r>
            <w:r w:rsidR="00C71C53">
              <w:rPr>
                <w:rFonts w:ascii="Arial" w:hAnsi="Arial" w:cs="Arial"/>
                <w:sz w:val="20"/>
                <w:szCs w:val="20"/>
              </w:rPr>
              <w:t>των εν λόγω υδραυλικών ελαίων</w:t>
            </w:r>
            <w:r w:rsidRPr="00665F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6B99" w:rsidTr="007F51F2">
        <w:trPr>
          <w:trHeight w:val="578"/>
        </w:trPr>
        <w:tc>
          <w:tcPr>
            <w:tcW w:w="3734" w:type="dxa"/>
          </w:tcPr>
          <w:p w:rsidR="007F51F2" w:rsidRDefault="00FD100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E60EB1" w:rsidRDefault="00812C77" w:rsidP="00BB294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5B0A">
              <w:rPr>
                <w:rFonts w:ascii="Arial" w:hAnsi="Arial" w:cs="Arial"/>
                <w:sz w:val="20"/>
                <w:szCs w:val="20"/>
              </w:rPr>
              <w:t>5</w:t>
            </w:r>
            <w:r w:rsidR="00BB294F">
              <w:rPr>
                <w:rFonts w:ascii="Arial" w:hAnsi="Arial" w:cs="Arial"/>
                <w:sz w:val="20"/>
                <w:szCs w:val="20"/>
              </w:rPr>
              <w:t xml:space="preserve"> ημερολογιακές ημέρες</w:t>
            </w:r>
            <w:r w:rsidR="00E60EB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bookmarkStart w:id="0" w:name="_GoBack"/>
            <w:r w:rsidR="00E60EB1">
              <w:rPr>
                <w:rFonts w:ascii="Arial" w:hAnsi="Arial" w:cs="Arial"/>
                <w:sz w:val="20"/>
                <w:szCs w:val="20"/>
                <w:lang w:val="en-US"/>
              </w:rPr>
              <w:t>(05/05/2025)</w:t>
            </w:r>
            <w:bookmarkEnd w:id="0"/>
          </w:p>
        </w:tc>
      </w:tr>
    </w:tbl>
    <w:p w:rsidR="00BF01D1" w:rsidRPr="004D46F3" w:rsidRDefault="00FD100F" w:rsidP="009F4F63">
      <w:pPr>
        <w:pStyle w:val="a4"/>
        <w:jc w:val="both"/>
        <w:rPr>
          <w:rFonts w:ascii="Arial" w:hAnsi="Arial" w:cs="Arial"/>
          <w:sz w:val="24"/>
          <w:szCs w:val="24"/>
        </w:rPr>
      </w:pPr>
      <w:r w:rsidRPr="004D46F3">
        <w:rPr>
          <w:rFonts w:ascii="Arial" w:hAnsi="Arial" w:cs="Arial"/>
          <w:sz w:val="24"/>
          <w:szCs w:val="24"/>
        </w:rPr>
        <w:t xml:space="preserve"> </w:t>
      </w:r>
    </w:p>
    <w:sectPr w:rsidR="00BF01D1" w:rsidRPr="004D46F3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BD4EFA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8709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2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C9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8E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6E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8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9"/>
    <w:rsid w:val="00234DA4"/>
    <w:rsid w:val="002D53DA"/>
    <w:rsid w:val="00326B99"/>
    <w:rsid w:val="004D46F3"/>
    <w:rsid w:val="00665FE3"/>
    <w:rsid w:val="006B5B0A"/>
    <w:rsid w:val="006F3E28"/>
    <w:rsid w:val="0075138B"/>
    <w:rsid w:val="00812C77"/>
    <w:rsid w:val="008B3FD6"/>
    <w:rsid w:val="009F4F63"/>
    <w:rsid w:val="00BB294F"/>
    <w:rsid w:val="00BE00D7"/>
    <w:rsid w:val="00C71C53"/>
    <w:rsid w:val="00E25872"/>
    <w:rsid w:val="00E60EB1"/>
    <w:rsid w:val="00FC3459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894FB-4934-41BB-8791-797E6BF8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Πολεμικό Ναυτικό.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ΓΕΝ/Δ1-V ΤΜΗΜΑΤΑΡΧΗΣ</dc:creator>
  <cp:lastModifiedBy>Σοφία Παππάκου</cp:lastModifiedBy>
  <cp:revision>4</cp:revision>
  <dcterms:created xsi:type="dcterms:W3CDTF">2025-04-09T10:27:00Z</dcterms:created>
  <dcterms:modified xsi:type="dcterms:W3CDTF">2025-04-10T04:48:00Z</dcterms:modified>
</cp:coreProperties>
</file>