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8F" w:rsidRDefault="00F372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88298F" w:rsidRDefault="0088298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4" w:type="dxa"/>
        <w:tblInd w:w="-25" w:type="dxa"/>
        <w:tblCellMar>
          <w:left w:w="83" w:type="dxa"/>
        </w:tblCellMar>
        <w:tblLook w:val="04A0"/>
      </w:tblPr>
      <w:tblGrid>
        <w:gridCol w:w="3733"/>
        <w:gridCol w:w="2186"/>
        <w:gridCol w:w="3545"/>
      </w:tblGrid>
      <w:tr w:rsidR="0088298F">
        <w:trPr>
          <w:trHeight w:val="668"/>
        </w:trPr>
        <w:tc>
          <w:tcPr>
            <w:tcW w:w="9464" w:type="dxa"/>
            <w:gridSpan w:val="3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88298F">
        <w:trPr>
          <w:trHeight w:val="668"/>
        </w:trPr>
        <w:tc>
          <w:tcPr>
            <w:tcW w:w="3733" w:type="dxa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Κωνσταντίνος</w:t>
            </w:r>
          </w:p>
        </w:tc>
      </w:tr>
      <w:tr w:rsidR="0088298F">
        <w:trPr>
          <w:trHeight w:val="668"/>
        </w:trPr>
        <w:tc>
          <w:tcPr>
            <w:tcW w:w="3733" w:type="dxa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Γραββάνης</w:t>
            </w:r>
          </w:p>
        </w:tc>
      </w:tr>
      <w:tr w:rsidR="0088298F">
        <w:trPr>
          <w:trHeight w:val="668"/>
        </w:trPr>
        <w:tc>
          <w:tcPr>
            <w:tcW w:w="3733" w:type="dxa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ΠΑ/251ΓΝΑ/ΔΦΤ/ΤΜΗΜΑ ΠΡΟΕΤΟΙΜΑΣΙΑΣ ΣΤΕΙΡΩΝ ΠΑΡΕΝΤΕΡΙΚΩΝ ΔΙΑΛΥΜΑΤΩΝ</w:t>
            </w:r>
          </w:p>
        </w:tc>
      </w:tr>
      <w:tr w:rsidR="0088298F">
        <w:trPr>
          <w:trHeight w:val="292"/>
        </w:trPr>
        <w:tc>
          <w:tcPr>
            <w:tcW w:w="3733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5" w:type="dxa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210746-3505, 4955</w:t>
            </w:r>
          </w:p>
        </w:tc>
      </w:tr>
      <w:tr w:rsidR="0088298F">
        <w:trPr>
          <w:trHeight w:val="292"/>
        </w:trPr>
        <w:tc>
          <w:tcPr>
            <w:tcW w:w="3733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88298F" w:rsidRDefault="008829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5" w:type="dxa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6983513277</w:t>
            </w:r>
          </w:p>
        </w:tc>
      </w:tr>
      <w:tr w:rsidR="0088298F">
        <w:trPr>
          <w:trHeight w:val="668"/>
        </w:trPr>
        <w:tc>
          <w:tcPr>
            <w:tcW w:w="3733" w:type="dxa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nosfarm251gna@gmail.com</w:t>
            </w:r>
          </w:p>
        </w:tc>
      </w:tr>
      <w:tr w:rsidR="0088298F">
        <w:trPr>
          <w:trHeight w:val="668"/>
        </w:trPr>
        <w:tc>
          <w:tcPr>
            <w:tcW w:w="9464" w:type="dxa"/>
            <w:gridSpan w:val="3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88298F">
        <w:tc>
          <w:tcPr>
            <w:tcW w:w="3733" w:type="dxa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ΝΕΑ</w:t>
            </w:r>
          </w:p>
        </w:tc>
      </w:tr>
      <w:tr w:rsidR="0088298F">
        <w:tc>
          <w:tcPr>
            <w:tcW w:w="3733" w:type="dxa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</w:tcPr>
          <w:p w:rsidR="0088298F" w:rsidRDefault="008829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98F" w:rsidRDefault="008829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98F">
        <w:tc>
          <w:tcPr>
            <w:tcW w:w="3733" w:type="dxa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ΑΝΑΛΩΣΙΜΟ ΥΓΕΙΟΝΟΜΙΚΟ ΥΛΙΚΟ ΔΙΑΛΥΣΗΣ, ΜΕΤΑΦΟΡΑΣ ΚΑΙ ΧΟΡΗΓΗΣΗΣ </w:t>
            </w:r>
            <w:r>
              <w:rPr>
                <w:rFonts w:ascii="Arial" w:hAnsi="Arial" w:cs="Arial"/>
                <w:b/>
                <w:sz w:val="24"/>
                <w:szCs w:val="24"/>
              </w:rPr>
              <w:t>ΚΥΤΤΑΡΟ-ΣΤΑΤΙΚΩΝ ΦΑΡΜΑΚΩΝ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CLOSED</w:t>
            </w:r>
            <w:r w:rsidRPr="00F3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SYSTEM</w:t>
            </w:r>
            <w:r w:rsidRPr="00F3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DRUG</w:t>
            </w:r>
            <w:r w:rsidRPr="00F3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TRANFER</w:t>
            </w:r>
            <w:r w:rsidRPr="00F37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DEVICES</w:t>
            </w:r>
            <w:r w:rsidRPr="00F3725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CSTDs</w:t>
            </w:r>
            <w:r w:rsidRPr="00F3725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ΚΛΕΙΣΤΟ ΣΥΣΤΗΜΑ ΔΙΑΛΥΣΗΣ-ΧΟΡΗΓΗΣΗΣ) ΜΕ ΣΥΝΔΕ-ΣΜΟΛΟΓΙΑ ΤΥΠΟΥ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«ΚΛΙΚ»</w:t>
            </w:r>
          </w:p>
        </w:tc>
      </w:tr>
      <w:tr w:rsidR="0088298F">
        <w:tc>
          <w:tcPr>
            <w:tcW w:w="3733" w:type="dxa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</w:t>
            </w:r>
          </w:p>
        </w:tc>
      </w:tr>
      <w:tr w:rsidR="0088298F">
        <w:tc>
          <w:tcPr>
            <w:tcW w:w="3733" w:type="dxa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33194120-3 (Α</w:t>
            </w:r>
            <w:r>
              <w:rPr>
                <w:rFonts w:ascii="Arial" w:hAnsi="Arial"/>
                <w:b/>
                <w:bCs/>
                <w:sz w:val="20"/>
              </w:rPr>
              <w:t>ναλώσιμα έγχυσης)</w:t>
            </w:r>
          </w:p>
        </w:tc>
      </w:tr>
      <w:tr w:rsidR="0088298F">
        <w:tc>
          <w:tcPr>
            <w:tcW w:w="3733" w:type="dxa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J0308</w:t>
            </w:r>
          </w:p>
        </w:tc>
      </w:tr>
      <w:tr w:rsidR="0088298F">
        <w:tc>
          <w:tcPr>
            <w:tcW w:w="3733" w:type="dxa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Συν Προτ Τεχν Προδιαγ. </w:t>
            </w:r>
            <w:r>
              <w:rPr>
                <w:rFonts w:ascii="Arial" w:hAnsi="Arial" w:cs="Arial"/>
                <w:sz w:val="24"/>
                <w:szCs w:val="24"/>
              </w:rPr>
              <w:t>(ΣΠΤΠ)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</w:tcPr>
          <w:p w:rsidR="0088298F" w:rsidRDefault="008829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98F">
        <w:tc>
          <w:tcPr>
            <w:tcW w:w="3733" w:type="dxa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Η παρούσα Προδιαγραφή Ενόπλων Δυνάμεων (ΠΕΔ) καλύπτει τις </w:t>
            </w:r>
            <w:r>
              <w:rPr>
                <w:rFonts w:ascii="Arial" w:hAnsi="Arial" w:cs="Arial"/>
                <w:sz w:val="20"/>
                <w:szCs w:val="20"/>
              </w:rPr>
              <w:t>απαιτήσεις προμήθειας  αναλώσιμου υγειονομι-κού υλικού διάλυσης, μεταφοράς και χορήγησης κυτταροστα-τικών φαρμάκων (κλειστό κύκλωμα διάλυσης – χορήγησης, Clo</w:t>
            </w:r>
            <w:r>
              <w:rPr>
                <w:rFonts w:ascii="Arial" w:hAnsi="Arial" w:cs="Arial"/>
                <w:sz w:val="20"/>
                <w:szCs w:val="20"/>
              </w:rPr>
              <w:t>sed System Transfer Devices – CSTDs) με συνδεσμολογία τύπου «κλ</w:t>
            </w:r>
            <w:r w:rsidRPr="00F37258">
              <w:rPr>
                <w:rFonts w:ascii="Arial" w:hAnsi="Arial" w:cs="Arial"/>
                <w:sz w:val="20"/>
                <w:szCs w:val="20"/>
              </w:rPr>
              <w:t>ι</w:t>
            </w:r>
            <w:r>
              <w:rPr>
                <w:rFonts w:ascii="Arial" w:hAnsi="Arial" w:cs="Arial"/>
                <w:sz w:val="20"/>
                <w:szCs w:val="20"/>
              </w:rPr>
              <w:t>κ»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που θα καλύπτει τις ανάγκες του </w:t>
            </w:r>
            <w:r>
              <w:rPr>
                <w:rFonts w:ascii="Arial" w:hAnsi="Arial" w:cs="Arial"/>
                <w:sz w:val="20"/>
                <w:szCs w:val="20"/>
              </w:rPr>
              <w:t>Τμήματος Προετοιμασίας Στείρων Παρεντερικών Διαλυμάτων και του Τμήματος Ημερήσιας Νοσηλείας του 251 ΓΝΑ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την χρησιμοποίησή τους κατά τους χειρισμούς των ε</w:t>
            </w:r>
            <w:r>
              <w:rPr>
                <w:rFonts w:ascii="Arial" w:hAnsi="Arial" w:cs="Arial"/>
                <w:sz w:val="20"/>
                <w:szCs w:val="20"/>
              </w:rPr>
              <w:t>πικίνδυνων κυτταροστατικών φαρμάκων.</w:t>
            </w:r>
          </w:p>
        </w:tc>
      </w:tr>
      <w:tr w:rsidR="0088298F">
        <w:trPr>
          <w:trHeight w:val="578"/>
        </w:trPr>
        <w:tc>
          <w:tcPr>
            <w:tcW w:w="3733" w:type="dxa"/>
            <w:shd w:val="clear" w:color="auto" w:fill="auto"/>
            <w:tcMar>
              <w:left w:w="83" w:type="dxa"/>
            </w:tcMar>
          </w:tcPr>
          <w:p w:rsidR="0088298F" w:rsidRDefault="00F37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:rsidR="0088298F" w:rsidRDefault="00F3725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31-03-2023</w:t>
            </w:r>
          </w:p>
        </w:tc>
      </w:tr>
    </w:tbl>
    <w:p w:rsidR="0088298F" w:rsidRDefault="00F3725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88298F" w:rsidRDefault="00F3725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88298F" w:rsidRDefault="00F3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F3725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F37258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88298F" w:rsidRDefault="00F3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</w:t>
      </w:r>
      <w:r>
        <w:rPr>
          <w:rFonts w:ascii="Arial" w:hAnsi="Arial" w:cs="Arial"/>
          <w:sz w:val="24"/>
          <w:szCs w:val="24"/>
        </w:rPr>
        <w:t>όλες οι μέχρι τότε υφιστάμενες τροποποιήσεις.</w:t>
      </w:r>
    </w:p>
    <w:p w:rsidR="0088298F" w:rsidRDefault="00F3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F3725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F372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88298F" w:rsidRDefault="0088298F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8298F" w:rsidRDefault="00F37258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88298F" w:rsidRDefault="0088298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8298F" w:rsidRDefault="00F3725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88298F" w:rsidRDefault="00F3725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88298F" w:rsidRDefault="00F3725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88298F" w:rsidRDefault="00F3725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88298F" w:rsidRDefault="00F3725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:rsidR="0088298F" w:rsidRDefault="0088298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8298F" w:rsidRDefault="00F37258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88298F" w:rsidRDefault="0088298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8298F" w:rsidRDefault="00F3725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Μηχ/γος-Μηχ/κος Ευκλείδης Πιτσαλίδης</w:t>
      </w:r>
    </w:p>
    <w:p w:rsidR="0088298F" w:rsidRDefault="00F37258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Τηλ</w:t>
      </w:r>
      <w:r>
        <w:rPr>
          <w:rFonts w:ascii="Arial" w:hAnsi="Arial" w:cs="Arial"/>
          <w:sz w:val="24"/>
          <w:szCs w:val="24"/>
          <w:lang w:val="en-US"/>
        </w:rPr>
        <w:t xml:space="preserve">. 210-657-4164, </w:t>
      </w:r>
      <w:r>
        <w:rPr>
          <w:rFonts w:ascii="Arial" w:hAnsi="Arial" w:cs="Arial"/>
          <w:sz w:val="24"/>
          <w:szCs w:val="24"/>
        </w:rPr>
        <w:t>κιν</w:t>
      </w:r>
      <w:r>
        <w:rPr>
          <w:rFonts w:ascii="Arial" w:hAnsi="Arial" w:cs="Arial"/>
          <w:sz w:val="24"/>
          <w:szCs w:val="24"/>
          <w:lang w:val="en-US"/>
        </w:rPr>
        <w:t>: 6937-240267</w:t>
      </w:r>
    </w:p>
    <w:p w:rsidR="0088298F" w:rsidRDefault="00F37258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E-mail: h.specifications@hndgs.mil.gr</w:t>
      </w:r>
    </w:p>
    <w:p w:rsidR="0088298F" w:rsidRPr="00F37258" w:rsidRDefault="00F37258">
      <w:pPr>
        <w:pStyle w:val="ListParagraph"/>
        <w:jc w:val="both"/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sectPr w:rsidR="0088298F" w:rsidRPr="00F37258" w:rsidSect="0088298F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408"/>
  <w:characterSpacingControl w:val="doNotCompress"/>
  <w:compat/>
  <w:rsids>
    <w:rsidRoot w:val="0088298F"/>
    <w:rsid w:val="0088298F"/>
    <w:rsid w:val="00F3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0F"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ύνδεσμος διαδικτύου"/>
    <w:basedOn w:val="DefaultParagraphFont"/>
    <w:uiPriority w:val="99"/>
    <w:unhideWhenUsed/>
    <w:rsid w:val="00EB1A58"/>
    <w:rPr>
      <w:color w:val="0000FF" w:themeColor="hyperlink"/>
      <w:u w:val="single"/>
    </w:rPr>
  </w:style>
  <w:style w:type="character" w:customStyle="1" w:styleId="ListLabel1">
    <w:name w:val="ListLabel 1"/>
    <w:qFormat/>
    <w:rsid w:val="0088298F"/>
    <w:rPr>
      <w:rFonts w:eastAsia="Calibri" w:cs="Arial"/>
    </w:rPr>
  </w:style>
  <w:style w:type="character" w:customStyle="1" w:styleId="ListLabel2">
    <w:name w:val="ListLabel 2"/>
    <w:qFormat/>
    <w:rsid w:val="0088298F"/>
    <w:rPr>
      <w:rFonts w:cs="Courier New"/>
    </w:rPr>
  </w:style>
  <w:style w:type="character" w:customStyle="1" w:styleId="a0">
    <w:name w:val="Αναγνωσμένος δεσμός διαδικτύου"/>
    <w:rsid w:val="0088298F"/>
    <w:rPr>
      <w:color w:val="800000"/>
      <w:u w:val="single"/>
    </w:rPr>
  </w:style>
  <w:style w:type="paragraph" w:customStyle="1" w:styleId="a1">
    <w:name w:val="Επικεφαλίδα"/>
    <w:basedOn w:val="Normal"/>
    <w:next w:val="a2"/>
    <w:qFormat/>
    <w:rsid w:val="0088298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2">
    <w:name w:val="Σώμα κειμένου"/>
    <w:basedOn w:val="Normal"/>
    <w:rsid w:val="0088298F"/>
    <w:pPr>
      <w:spacing w:after="140" w:line="288" w:lineRule="auto"/>
    </w:pPr>
  </w:style>
  <w:style w:type="paragraph" w:customStyle="1" w:styleId="a3">
    <w:name w:val="Λίστα"/>
    <w:basedOn w:val="a2"/>
    <w:rsid w:val="0088298F"/>
    <w:rPr>
      <w:rFonts w:cs="Lucida Sans"/>
    </w:rPr>
  </w:style>
  <w:style w:type="paragraph" w:customStyle="1" w:styleId="a4">
    <w:name w:val="Υπόμνημα"/>
    <w:basedOn w:val="Normal"/>
    <w:rsid w:val="0088298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5">
    <w:name w:val="Ευρετήριο"/>
    <w:basedOn w:val="Normal"/>
    <w:qFormat/>
    <w:rsid w:val="0088298F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B07"/>
    <w:pPr>
      <w:ind w:left="720"/>
      <w:contextualSpacing/>
    </w:pPr>
  </w:style>
  <w:style w:type="table" w:styleId="TableGrid">
    <w:name w:val="Table Grid"/>
    <w:basedOn w:val="TableNormal"/>
    <w:uiPriority w:val="59"/>
    <w:rsid w:val="003312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1831</Characters>
  <Application>Microsoft Office Word</Application>
  <DocSecurity>0</DocSecurity>
  <Lines>15</Lines>
  <Paragraphs>4</Paragraphs>
  <ScaleCrop>false</ScaleCrop>
  <Company>MOD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Gee005</dc:creator>
  <cp:lastModifiedBy>Akis Pitsalidis</cp:lastModifiedBy>
  <cp:revision>2</cp:revision>
  <dcterms:created xsi:type="dcterms:W3CDTF">2023-03-09T14:43:00Z</dcterms:created>
  <dcterms:modified xsi:type="dcterms:W3CDTF">2023-03-09T14:43:00Z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