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6B7F7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6B7F7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130D3" w:rsidRDefault="00573ADD" w:rsidP="0023099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130D3">
              <w:rPr>
                <w:rFonts w:ascii="Arial" w:hAnsi="Arial" w:cs="Arial"/>
                <w:sz w:val="20"/>
                <w:szCs w:val="20"/>
              </w:rPr>
              <w:t>ΣΥΣΚΕΥΗ ΠΡΟΣΔΙΟΡΙΣΜΟΥ ΚΙΝΗΜΑΤΙΚΟΥ – ΔΥΝΑΜΙΚΟΥ ΙΞΩΔΟΥΣ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6B7F7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573ADD" w:rsidRPr="00573ADD">
              <w:rPr>
                <w:bCs/>
                <w:sz w:val="20"/>
              </w:rPr>
              <w:t>Συσκευή Προσδιορισμού Κινηματικού – Δυναμικού Ιξώδους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B7F77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bookmarkStart w:id="0" w:name="_GoBack"/>
            <w:bookmarkEnd w:id="0"/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30D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177C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3ADD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B7F77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37DC6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B924-C750-445C-BB3D-F9B8AE7B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32</cp:revision>
  <dcterms:created xsi:type="dcterms:W3CDTF">2026-01-14T12:08:00Z</dcterms:created>
  <dcterms:modified xsi:type="dcterms:W3CDTF">2026-05-29T05:43:00Z</dcterms:modified>
</cp:coreProperties>
</file>